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D0" w:rsidRDefault="005831FA" w:rsidP="005831FA">
      <w:pPr>
        <w:pStyle w:val="Heading1"/>
      </w:pPr>
      <w:r>
        <w:t xml:space="preserve">The prevalence of </w:t>
      </w:r>
      <w:r w:rsidR="00D718C6">
        <w:t>visual impairment</w:t>
      </w:r>
      <w:r>
        <w:t xml:space="preserve">: a capture-recapture study in </w:t>
      </w:r>
      <w:r w:rsidR="0017015F">
        <w:t>THREE URBAN REGIONS IN NEW ZEALAND</w:t>
      </w:r>
    </w:p>
    <w:p w:rsidR="00907BF7" w:rsidRDefault="008462D6" w:rsidP="00907BF7">
      <w:r>
        <w:t xml:space="preserve">Sub-title: Visual impairment in </w:t>
      </w:r>
      <w:r w:rsidR="00AE6D3C">
        <w:t>urban</w:t>
      </w:r>
      <w:r>
        <w:t xml:space="preserve"> New Zealand.</w:t>
      </w:r>
    </w:p>
    <w:p w:rsidR="008462D6" w:rsidRPr="00907BF7" w:rsidRDefault="008462D6" w:rsidP="00907BF7">
      <w:r>
        <w:t>Keywords: epidemiology; blindness; vision disorders; prevalence.</w:t>
      </w:r>
    </w:p>
    <w:p w:rsidR="00204E12" w:rsidRPr="00FD1DEC" w:rsidRDefault="00204E12" w:rsidP="001959AE">
      <w:pPr>
        <w:rPr>
          <w:vertAlign w:val="superscript"/>
        </w:rPr>
      </w:pPr>
      <w:r>
        <w:rPr>
          <w:b/>
          <w:u w:val="single"/>
        </w:rPr>
        <w:t>Simon J. Thornley</w:t>
      </w:r>
      <w:r w:rsidRPr="00FD1DEC">
        <w:rPr>
          <w:b/>
          <w:u w:val="single"/>
          <w:vertAlign w:val="superscript"/>
        </w:rPr>
        <w:t>1</w:t>
      </w:r>
      <w:r w:rsidRPr="00FD1DEC">
        <w:t xml:space="preserve">, </w:t>
      </w:r>
      <w:r>
        <w:t>Keith Gordon</w:t>
      </w:r>
      <w:r w:rsidRPr="00FD1DEC">
        <w:rPr>
          <w:vertAlign w:val="superscript"/>
        </w:rPr>
        <w:t>2</w:t>
      </w:r>
      <w:r>
        <w:rPr>
          <w:vertAlign w:val="superscript"/>
        </w:rPr>
        <w:t>,3</w:t>
      </w:r>
      <w:r w:rsidRPr="00FD1DEC">
        <w:t xml:space="preserve">, </w:t>
      </w:r>
      <w:r>
        <w:t>Chris Shelton</w:t>
      </w:r>
      <w:r>
        <w:rPr>
          <w:vertAlign w:val="superscript"/>
        </w:rPr>
        <w:t>2</w:t>
      </w:r>
      <w:r>
        <w:t>, Roger Marshall.</w:t>
      </w:r>
      <w:r>
        <w:rPr>
          <w:vertAlign w:val="superscript"/>
        </w:rPr>
        <w:t>4</w:t>
      </w:r>
    </w:p>
    <w:p w:rsidR="00204E12" w:rsidRDefault="00204E12" w:rsidP="001959AE">
      <w:r w:rsidRPr="00043273">
        <w:rPr>
          <w:vertAlign w:val="superscript"/>
        </w:rPr>
        <w:t>1</w:t>
      </w:r>
      <w:r w:rsidRPr="00043273">
        <w:t xml:space="preserve"> </w:t>
      </w:r>
      <w:r w:rsidR="0017015F">
        <w:t xml:space="preserve">Blind Foundation </w:t>
      </w:r>
      <w:r w:rsidR="00A522B5">
        <w:t>C</w:t>
      </w:r>
      <w:r w:rsidRPr="00043273">
        <w:t xml:space="preserve">ontracting Epidemiologist, </w:t>
      </w:r>
      <w:r w:rsidR="001959AE">
        <w:t xml:space="preserve">1/8 Puriri Ave, </w:t>
      </w:r>
      <w:r w:rsidRPr="00043273">
        <w:t>Greenlane, Auckland 1051</w:t>
      </w:r>
      <w:r>
        <w:t>, New Zealand</w:t>
      </w:r>
      <w:r w:rsidRPr="00043273">
        <w:t>.</w:t>
      </w:r>
      <w:r>
        <w:t xml:space="preserve"> </w:t>
      </w:r>
    </w:p>
    <w:p w:rsidR="00204E12" w:rsidRPr="00043273" w:rsidRDefault="00204E12" w:rsidP="001959AE">
      <w:r w:rsidRPr="00FD1DEC">
        <w:rPr>
          <w:i/>
          <w:vertAlign w:val="superscript"/>
        </w:rPr>
        <w:t xml:space="preserve">2 </w:t>
      </w:r>
      <w:r w:rsidR="007139F9">
        <w:t xml:space="preserve"> </w:t>
      </w:r>
      <w:r w:rsidRPr="00043273">
        <w:t>Blind Foundation</w:t>
      </w:r>
      <w:r>
        <w:t xml:space="preserve">, </w:t>
      </w:r>
      <w:r w:rsidRPr="00043273">
        <w:t>Te Tūāpapa o Te Hunga Kāpō</w:t>
      </w:r>
      <w:r>
        <w:t xml:space="preserve">, </w:t>
      </w:r>
      <w:r w:rsidRPr="00043273">
        <w:t>4 Maunsell Road, Parnell 1052</w:t>
      </w:r>
      <w:r>
        <w:t xml:space="preserve">, </w:t>
      </w:r>
      <w:r w:rsidRPr="00043273">
        <w:t>Auckland.</w:t>
      </w:r>
      <w:r w:rsidR="00B66E97">
        <w:t xml:space="preserve"> </w:t>
      </w:r>
    </w:p>
    <w:p w:rsidR="00204E12" w:rsidRPr="00043273" w:rsidRDefault="00204E12" w:rsidP="001959AE">
      <w:r>
        <w:rPr>
          <w:vertAlign w:val="superscript"/>
        </w:rPr>
        <w:t>3</w:t>
      </w:r>
      <w:r w:rsidR="00533A74">
        <w:rPr>
          <w:vertAlign w:val="superscript"/>
        </w:rPr>
        <w:t xml:space="preserve"> </w:t>
      </w:r>
      <w:r>
        <w:t>CNIB</w:t>
      </w:r>
      <w:r w:rsidR="00533A74">
        <w:t xml:space="preserve"> (Canadian National Institute for the Blind)</w:t>
      </w:r>
      <w:r>
        <w:t xml:space="preserve">, </w:t>
      </w:r>
      <w:r w:rsidR="009F678C">
        <w:t>and Department of Ophthalmology and Vision Sciences, University of Toronto, Canada.</w:t>
      </w:r>
      <w:r w:rsidR="000E2C07" w:rsidRPr="000E2C07">
        <w:t xml:space="preserve"> </w:t>
      </w:r>
      <w:r w:rsidR="000E2C07">
        <w:t>(corresponding author</w:t>
      </w:r>
      <w:r w:rsidR="00B67A50">
        <w:t xml:space="preserve"> Email: keith.gordon@cnib.ca)</w:t>
      </w:r>
    </w:p>
    <w:p w:rsidR="00204E12" w:rsidRDefault="00204E12" w:rsidP="001959AE">
      <w:r w:rsidRPr="001959AE">
        <w:rPr>
          <w:vertAlign w:val="superscript"/>
        </w:rPr>
        <w:t>4</w:t>
      </w:r>
      <w:r w:rsidRPr="00204E12">
        <w:t>The University of Auckland, Section of Epidemiology and Biostatistics, Tamaki Campus, Glen Innes, Auckland, New Zealand.</w:t>
      </w:r>
    </w:p>
    <w:p w:rsidR="008869D3" w:rsidRDefault="008869D3" w:rsidP="005831FA">
      <w:r w:rsidRPr="008869D3">
        <w:rPr>
          <w:b/>
        </w:rPr>
        <w:t>Conflicts of interest</w:t>
      </w:r>
      <w:r>
        <w:rPr>
          <w:b/>
        </w:rPr>
        <w:t xml:space="preserve">: </w:t>
      </w:r>
      <w:r w:rsidRPr="008869D3">
        <w:t>None of the authors have any proprietary interests or conflicts of interest related to this submission</w:t>
      </w:r>
    </w:p>
    <w:p w:rsidR="007D1B61" w:rsidRDefault="007D1B61" w:rsidP="007D1B61">
      <w:pPr>
        <w:pStyle w:val="Heading1"/>
      </w:pPr>
      <w:r>
        <w:t>Funding</w:t>
      </w:r>
    </w:p>
    <w:p w:rsidR="007D1B61" w:rsidRPr="007D1B61" w:rsidRDefault="007D1B61" w:rsidP="005831FA">
      <w:r>
        <w:t xml:space="preserve">This manuscript was prepared with funding from the </w:t>
      </w:r>
      <w:r w:rsidR="0017015F">
        <w:t xml:space="preserve">New Zealand </w:t>
      </w:r>
      <w:r>
        <w:t>Blind Foundation.</w:t>
      </w:r>
    </w:p>
    <w:p w:rsidR="004F0F2F" w:rsidRPr="008869D3" w:rsidRDefault="008869D3">
      <w:r>
        <w:t xml:space="preserve">This submission has not been published anywhere previously and it is not simultaneously being considered for publication. </w:t>
      </w:r>
    </w:p>
    <w:p w:rsidR="005831FA" w:rsidRDefault="005831FA" w:rsidP="00254CC0">
      <w:pPr>
        <w:pStyle w:val="Heading1"/>
      </w:pPr>
      <w:r>
        <w:t>Abstract</w:t>
      </w:r>
    </w:p>
    <w:p w:rsidR="00254CC0" w:rsidRDefault="008869D3" w:rsidP="001959AE">
      <w:pPr>
        <w:pStyle w:val="Heading2"/>
      </w:pPr>
      <w:r>
        <w:t>PURPOSE</w:t>
      </w:r>
    </w:p>
    <w:p w:rsidR="005831FA" w:rsidRDefault="009E089E" w:rsidP="005831FA">
      <w:r>
        <w:t xml:space="preserve">To </w:t>
      </w:r>
      <w:r w:rsidR="0017015F">
        <w:t>estimate the prevalence of blindness in three regions of</w:t>
      </w:r>
      <w:r>
        <w:t xml:space="preserve"> N</w:t>
      </w:r>
      <w:r w:rsidR="00C40AF7">
        <w:t xml:space="preserve">ew </w:t>
      </w:r>
      <w:r>
        <w:t>Z</w:t>
      </w:r>
      <w:r w:rsidR="00C40AF7">
        <w:t>ealand</w:t>
      </w:r>
      <w:r w:rsidR="00316685">
        <w:t>.</w:t>
      </w:r>
    </w:p>
    <w:p w:rsidR="00254CC0" w:rsidRDefault="00254CC0" w:rsidP="001959AE">
      <w:pPr>
        <w:pStyle w:val="Heading2"/>
      </w:pPr>
      <w:r>
        <w:t>Methods</w:t>
      </w:r>
    </w:p>
    <w:p w:rsidR="00316685" w:rsidRPr="00316685" w:rsidRDefault="00D04905" w:rsidP="00316685">
      <w:r>
        <w:t>Capture-recapture methods were used to estimate the prevalence of blindness</w:t>
      </w:r>
      <w:r w:rsidR="0017015F">
        <w:t xml:space="preserve"> as defined by New Zealand Blind Foundation criteria for membership, </w:t>
      </w:r>
      <w:r>
        <w:t xml:space="preserve">that is </w:t>
      </w:r>
      <w:r w:rsidR="0017015F">
        <w:t xml:space="preserve">a </w:t>
      </w:r>
      <w:r>
        <w:t>best corrected visual acuity of</w:t>
      </w:r>
      <w:r w:rsidR="00316685" w:rsidRPr="00013206">
        <w:t xml:space="preserve"> </w:t>
      </w:r>
      <w:r w:rsidR="00106794" w:rsidRPr="00013206">
        <w:t>≤</w:t>
      </w:r>
      <w:r w:rsidR="00106794">
        <w:t xml:space="preserve"> 6/24</w:t>
      </w:r>
      <w:r w:rsidR="00882DF0">
        <w:t xml:space="preserve">, </w:t>
      </w:r>
      <w:r>
        <w:t>in different regions of New Zealand</w:t>
      </w:r>
      <w:r w:rsidR="00316685" w:rsidRPr="00013206">
        <w:t>.</w:t>
      </w:r>
      <w:r>
        <w:t xml:space="preserve"> Lists of people attending eye health assessments, or applications for the Blind Foundation were obtained in different regions.</w:t>
      </w:r>
      <w:r w:rsidR="00316685" w:rsidRPr="00013206">
        <w:t xml:space="preserve"> The study period was </w:t>
      </w:r>
      <w:r w:rsidR="001B0F6B" w:rsidRPr="00013206">
        <w:t xml:space="preserve">September 2011 to September 2014 </w:t>
      </w:r>
      <w:r w:rsidR="00FF4E4C">
        <w:t xml:space="preserve">in </w:t>
      </w:r>
      <w:r w:rsidR="001B0F6B" w:rsidRPr="00013206">
        <w:t>adults aged 15 years</w:t>
      </w:r>
      <w:r w:rsidR="001B0F6B">
        <w:t xml:space="preserve"> of age</w:t>
      </w:r>
      <w:r w:rsidR="005D699F">
        <w:t xml:space="preserve"> or over</w:t>
      </w:r>
      <w:r>
        <w:t xml:space="preserve">. </w:t>
      </w:r>
      <w:r w:rsidR="001B0F6B">
        <w:t xml:space="preserve">Log-linear models were used to estimate </w:t>
      </w:r>
      <w:r w:rsidR="0062419E">
        <w:t xml:space="preserve">the number </w:t>
      </w:r>
      <w:r w:rsidR="001B0F6B">
        <w:t>of new cases throughout the study period. Corresponding estimated resident census figures were used from 2013 to derive a three-year cumulative incidence</w:t>
      </w:r>
      <w:r w:rsidR="005D699F">
        <w:t>,</w:t>
      </w:r>
      <w:r w:rsidR="00F5128A">
        <w:t xml:space="preserve"> and prevalence was extrapolated based on estimates of survival in people with visual impairment</w:t>
      </w:r>
      <w:r w:rsidR="001B0F6B">
        <w:t>.</w:t>
      </w:r>
    </w:p>
    <w:p w:rsidR="00254CC0" w:rsidRDefault="00254CC0" w:rsidP="001959AE">
      <w:pPr>
        <w:pStyle w:val="Heading2"/>
      </w:pPr>
      <w:r>
        <w:t>Results</w:t>
      </w:r>
    </w:p>
    <w:p w:rsidR="00316685" w:rsidRPr="00316685" w:rsidRDefault="001B0F6B" w:rsidP="00316685">
      <w:r>
        <w:t xml:space="preserve">In </w:t>
      </w:r>
      <w:r w:rsidR="002A4C47">
        <w:t xml:space="preserve">the </w:t>
      </w:r>
      <w:r>
        <w:t>Auckland</w:t>
      </w:r>
      <w:r w:rsidR="002A4C47">
        <w:t xml:space="preserve"> District Health Board </w:t>
      </w:r>
      <w:r w:rsidR="00D04905">
        <w:t xml:space="preserve">and Waitemata </w:t>
      </w:r>
      <w:r w:rsidR="002A4C47">
        <w:t>region</w:t>
      </w:r>
      <w:r w:rsidR="00D04905">
        <w:t>s</w:t>
      </w:r>
      <w:r w:rsidR="002A4C47">
        <w:t xml:space="preserve"> </w:t>
      </w:r>
      <w:r w:rsidR="00D04905">
        <w:t xml:space="preserve">where three lists were available </w:t>
      </w:r>
      <w:r w:rsidR="00106794">
        <w:t xml:space="preserve">the prevalence of blindness </w:t>
      </w:r>
      <w:r w:rsidR="00491DB5">
        <w:t xml:space="preserve">was </w:t>
      </w:r>
      <w:r w:rsidR="00D04905">
        <w:t>0.49</w:t>
      </w:r>
      <w:r w:rsidR="00491DB5">
        <w:t>%</w:t>
      </w:r>
      <w:r w:rsidR="00491DB5" w:rsidRPr="00491DB5">
        <w:t xml:space="preserve"> (</w:t>
      </w:r>
      <w:r w:rsidR="00D04905">
        <w:t>95% confidence interval [CI]</w:t>
      </w:r>
      <w:r w:rsidR="00491DB5">
        <w:t xml:space="preserve">: </w:t>
      </w:r>
      <w:r w:rsidR="00D04905">
        <w:t>0.41 to 0.60</w:t>
      </w:r>
      <w:r w:rsidR="00491DB5" w:rsidRPr="00491DB5">
        <w:t>)</w:t>
      </w:r>
      <w:r w:rsidR="00D04905">
        <w:t>.</w:t>
      </w:r>
      <w:r w:rsidR="00106794">
        <w:t xml:space="preserve"> </w:t>
      </w:r>
      <w:r w:rsidR="00B66E97">
        <w:t>In Canterbury and Counties Manukau where two lists were available for analysis the prevalence of blindness was 0.</w:t>
      </w:r>
      <w:r w:rsidR="00B451DD">
        <w:t>52</w:t>
      </w:r>
      <w:r w:rsidR="00B66E97">
        <w:t>% (95% CI: 0.</w:t>
      </w:r>
      <w:r w:rsidR="00B451DD">
        <w:t>45</w:t>
      </w:r>
      <w:r w:rsidR="00B66E97">
        <w:t xml:space="preserve"> to </w:t>
      </w:r>
      <w:r w:rsidR="00B451DD">
        <w:t>0.60</w:t>
      </w:r>
      <w:r w:rsidR="00B66E97">
        <w:t>) and 1.96% (95% CI: 1.20 to 3.61) respectively.</w:t>
      </w:r>
      <w:r w:rsidR="00D04905">
        <w:t xml:space="preserve"> </w:t>
      </w:r>
    </w:p>
    <w:p w:rsidR="00254CC0" w:rsidRDefault="00254CC0" w:rsidP="001959AE">
      <w:pPr>
        <w:pStyle w:val="Heading2"/>
      </w:pPr>
      <w:r>
        <w:t>Conclusion</w:t>
      </w:r>
    </w:p>
    <w:p w:rsidR="00911F5F" w:rsidRDefault="00911F5F" w:rsidP="005831FA">
      <w:r w:rsidRPr="003C1338">
        <w:t xml:space="preserve">This study </w:t>
      </w:r>
      <w:r>
        <w:t>is</w:t>
      </w:r>
      <w:r w:rsidRPr="003C1338">
        <w:t xml:space="preserve"> the first t</w:t>
      </w:r>
      <w:r w:rsidR="00A10D10">
        <w:t>o use capture-</w:t>
      </w:r>
      <w:r>
        <w:t>recapture methods</w:t>
      </w:r>
      <w:r w:rsidRPr="003C1338">
        <w:t xml:space="preserve"> for measuring the prevalence of blindness in </w:t>
      </w:r>
      <w:r w:rsidR="003B14F0">
        <w:t xml:space="preserve">any region of </w:t>
      </w:r>
      <w:r w:rsidRPr="003C1338">
        <w:t xml:space="preserve">New Zealand. </w:t>
      </w:r>
      <w:r>
        <w:t>The results are useful for planning vision health and rehabilitation services in this country.</w:t>
      </w:r>
    </w:p>
    <w:p w:rsidR="00254CC0" w:rsidRDefault="00254CC0" w:rsidP="001959AE">
      <w:pPr>
        <w:pStyle w:val="Heading1"/>
      </w:pPr>
      <w:r>
        <w:t xml:space="preserve">Introduction </w:t>
      </w:r>
    </w:p>
    <w:p w:rsidR="00E20ABE" w:rsidRDefault="00DE3FC7" w:rsidP="00254CC0">
      <w:r>
        <w:t xml:space="preserve">The advent of several new sight saving medications and surgical treatments in the last few years has presented a challenge in planning for organizations that provide vision rehabilitation. </w:t>
      </w:r>
      <w:r w:rsidR="00937D4C">
        <w:t xml:space="preserve">In order to estimate the number of clients these organizations may expect in the years to come, they have traditionally </w:t>
      </w:r>
      <w:r w:rsidR="0062419E">
        <w:t>used</w:t>
      </w:r>
      <w:r>
        <w:t xml:space="preserve"> studies o</w:t>
      </w:r>
      <w:r w:rsidR="0062419E">
        <w:t>f</w:t>
      </w:r>
      <w:r>
        <w:t xml:space="preserve"> the prevalence of blindness and low vision</w:t>
      </w:r>
      <w:r w:rsidR="00937D4C">
        <w:t xml:space="preserve"> that</w:t>
      </w:r>
      <w:r>
        <w:t xml:space="preserve"> have been conducted some time ago </w:t>
      </w:r>
      <w:r w:rsidR="00682164">
        <w:t xml:space="preserve">and </w:t>
      </w:r>
      <w:r w:rsidR="00937D4C">
        <w:t>whose</w:t>
      </w:r>
      <w:r>
        <w:t xml:space="preserve"> data may no longer be applicable. These studies </w:t>
      </w:r>
      <w:r w:rsidR="00E20ABE" w:rsidRPr="00E20ABE">
        <w:t xml:space="preserve">have generally involved large-scale population </w:t>
      </w:r>
      <w:r w:rsidR="0062419E">
        <w:t>surveys</w:t>
      </w:r>
      <w:r w:rsidR="0062419E" w:rsidRPr="00E20ABE">
        <w:t xml:space="preserve"> </w:t>
      </w:r>
      <w:r w:rsidR="00E20ABE" w:rsidRPr="00E20ABE">
        <w:t>in which each individual in the sample is required to attend a clinic for a complete visual assessment. As a result, these studies are time consuming and expensive. For these reasons</w:t>
      </w:r>
      <w:r w:rsidR="005D699F">
        <w:t>,</w:t>
      </w:r>
      <w:r w:rsidR="00E20ABE" w:rsidRPr="00E20ABE">
        <w:t xml:space="preserve"> </w:t>
      </w:r>
      <w:r w:rsidR="00682164">
        <w:t>a study o</w:t>
      </w:r>
      <w:r w:rsidR="0062419E">
        <w:t>f</w:t>
      </w:r>
      <w:r w:rsidR="00682164">
        <w:t xml:space="preserve"> </w:t>
      </w:r>
      <w:r w:rsidR="00E20ABE" w:rsidRPr="00E20ABE">
        <w:t xml:space="preserve">the prevalence of blindness has never been </w:t>
      </w:r>
      <w:r w:rsidR="00682164">
        <w:t>conducted</w:t>
      </w:r>
      <w:r w:rsidR="00E20ABE" w:rsidRPr="00E20ABE">
        <w:t xml:space="preserve"> in New Zealand.  </w:t>
      </w:r>
      <w:r w:rsidR="002B6F26">
        <w:t>Past estimates of the burden of visual impairment in this country have been obtained by extrapolating overseas surveys to the New Zealand population.</w:t>
      </w:r>
      <w:r w:rsidR="004D71F8">
        <w:fldChar w:fldCharType="begin"/>
      </w:r>
      <w:r w:rsidR="001A5DBA">
        <w:instrText xml:space="preserve"> ADDIN EN.CITE &lt;EndNote&gt;&lt;Cite&gt;&lt;Author&gt;Access Economics Pty Limited&lt;/Author&gt;&lt;Year&gt;2009&lt;/Year&gt;&lt;RecNum&gt;2052&lt;/RecNum&gt;&lt;DisplayText&gt;&lt;style face="superscript"&gt;1&lt;/style&gt;&lt;/DisplayText&gt;&lt;record&gt;&lt;rec-number&gt;2052&lt;/rec-number&gt;&lt;foreign-keys&gt;&lt;key app="EN" db-id="pettdxt9jpzrzoewd9bxex5pwxrppdzrewat" timestamp="1455661748"&gt;2052&lt;/key&gt;&lt;/foreign-keys&gt;&lt;ref-type name="Report"&gt;27&lt;/ref-type&gt;&lt;contributors&gt;&lt;authors&gt;&lt;author&gt;Access Economics Pty Limited,.&lt;/author&gt;&lt;/authors&gt;&lt;/contributors&gt;&lt;titles&gt;&lt;title&gt;Clear Focus: The economic impact of vision loss in New Zealand in 2009&lt;/title&gt;&lt;/titles&gt;&lt;dates&gt;&lt;year&gt;2009&lt;/year&gt;&lt;/dates&gt;&lt;pub-location&gt;Auckland&lt;/pub-location&gt;&lt;publisher&gt;Royal New Zealand Foundation of the Blind&lt;/publisher&gt;&lt;urls&gt;&lt;/urls&gt;&lt;/record&gt;&lt;/Cite&gt;&lt;/EndNote&gt;</w:instrText>
      </w:r>
      <w:r w:rsidR="004D71F8">
        <w:fldChar w:fldCharType="separate"/>
      </w:r>
      <w:r w:rsidR="001A5DBA" w:rsidRPr="001A5DBA">
        <w:rPr>
          <w:noProof/>
          <w:vertAlign w:val="superscript"/>
        </w:rPr>
        <w:t>1</w:t>
      </w:r>
      <w:r w:rsidR="004D71F8">
        <w:fldChar w:fldCharType="end"/>
      </w:r>
      <w:r w:rsidR="00E20ABE" w:rsidRPr="00E20ABE">
        <w:t xml:space="preserve"> </w:t>
      </w:r>
      <w:r w:rsidR="000276FE">
        <w:t xml:space="preserve">In </w:t>
      </w:r>
      <w:r w:rsidR="00682164">
        <w:t>order</w:t>
      </w:r>
      <w:r w:rsidR="000276FE">
        <w:t xml:space="preserve"> to obtain more recent, locally determined</w:t>
      </w:r>
      <w:r w:rsidR="00682164">
        <w:t>,</w:t>
      </w:r>
      <w:r w:rsidR="000276FE">
        <w:t xml:space="preserve"> data to underpin the New Zealand Blind Foundation's</w:t>
      </w:r>
      <w:r w:rsidR="00682164">
        <w:t xml:space="preserve"> (NZBF)</w:t>
      </w:r>
      <w:r w:rsidR="000276FE">
        <w:t xml:space="preserve"> strategic planning process</w:t>
      </w:r>
      <w:r w:rsidR="00682164">
        <w:t>,</w:t>
      </w:r>
      <w:r w:rsidR="000276FE">
        <w:t xml:space="preserve"> </w:t>
      </w:r>
      <w:r w:rsidR="00682164">
        <w:t>we decided to</w:t>
      </w:r>
      <w:r w:rsidR="000276FE">
        <w:t xml:space="preserve"> </w:t>
      </w:r>
      <w:r w:rsidR="0062419E">
        <w:t>use</w:t>
      </w:r>
      <w:r w:rsidR="00682164">
        <w:t xml:space="preserve"> capture-recapture</w:t>
      </w:r>
      <w:r w:rsidR="000276FE">
        <w:t xml:space="preserve"> method</w:t>
      </w:r>
      <w:r w:rsidR="0062419E">
        <w:t>s</w:t>
      </w:r>
      <w:r w:rsidR="00682164">
        <w:t>, a relatively new method for conducting epidemiological studies</w:t>
      </w:r>
      <w:r w:rsidR="000276FE">
        <w:t xml:space="preserve"> that </w:t>
      </w:r>
      <w:r w:rsidR="00682164">
        <w:t>is</w:t>
      </w:r>
      <w:r w:rsidR="000276FE">
        <w:t xml:space="preserve"> less costly</w:t>
      </w:r>
      <w:r w:rsidR="00682164">
        <w:t xml:space="preserve"> and provides</w:t>
      </w:r>
      <w:r w:rsidR="000276FE">
        <w:t xml:space="preserve"> result</w:t>
      </w:r>
      <w:r w:rsidR="00682164">
        <w:t>s</w:t>
      </w:r>
      <w:r w:rsidR="000276FE">
        <w:t xml:space="preserve"> in a shorter time frame than </w:t>
      </w:r>
      <w:r w:rsidR="0062419E">
        <w:t xml:space="preserve">from </w:t>
      </w:r>
      <w:r w:rsidR="000276FE">
        <w:t>traditional s</w:t>
      </w:r>
      <w:r w:rsidR="0062419E">
        <w:t>urveys</w:t>
      </w:r>
      <w:r w:rsidR="000276FE">
        <w:t>.</w:t>
      </w:r>
    </w:p>
    <w:p w:rsidR="00C35583" w:rsidRDefault="00FA5AD6" w:rsidP="00254CC0">
      <w:r>
        <w:t>Capture-recapture is a</w:t>
      </w:r>
      <w:r w:rsidRPr="00FA5AD6">
        <w:t xml:space="preserve"> </w:t>
      </w:r>
      <w:r w:rsidR="002B6F26">
        <w:t xml:space="preserve">statistical </w:t>
      </w:r>
      <w:r w:rsidRPr="00FA5AD6">
        <w:t xml:space="preserve">method for conducting </w:t>
      </w:r>
      <w:r w:rsidR="0072361F">
        <w:t>prevalence</w:t>
      </w:r>
      <w:r w:rsidRPr="00FA5AD6">
        <w:t xml:space="preserve"> studies that is being used more frequently </w:t>
      </w:r>
      <w:r w:rsidR="00241FFB">
        <w:t>for</w:t>
      </w:r>
      <w:r w:rsidRPr="00FA5AD6">
        <w:t xml:space="preserve"> many disease</w:t>
      </w:r>
      <w:r w:rsidR="00241FFB">
        <w:t>s</w:t>
      </w:r>
      <w:r w:rsidRPr="00FA5AD6">
        <w:t>.</w:t>
      </w:r>
      <w:r w:rsidR="0089180A">
        <w:fldChar w:fldCharType="begin"/>
      </w:r>
      <w:r w:rsidR="001A5DBA">
        <w:instrText xml:space="preserve"> ADDIN EN.CITE &lt;EndNote&gt;&lt;Cite&gt;&lt;Author&gt;Chao&lt;/Author&gt;&lt;Year&gt;2001&lt;/Year&gt;&lt;RecNum&gt;1957&lt;/RecNum&gt;&lt;DisplayText&gt;&lt;style face="superscript"&gt;2&lt;/style&gt;&lt;/DisplayText&gt;&lt;record&gt;&lt;rec-number&gt;1957&lt;/rec-number&gt;&lt;foreign-keys&gt;&lt;key app="EN" db-id="pprz59ezusw2voefax6p2e9uxd5aa9adaxzv" timestamp="1457236055"&gt;1957&lt;/key&gt;&lt;/foreign-keys&gt;&lt;ref-type name="Journal Article"&gt;17&lt;/ref-type&gt;&lt;contributors&gt;&lt;authors&gt;&lt;author&gt;Chao, Anne&lt;/author&gt;&lt;author&gt;Tsay, PK&lt;/author&gt;&lt;author&gt;Lin, Sheng</w:instrText>
      </w:r>
      <w:r w:rsidR="001A5DBA">
        <w:rPr>
          <w:rFonts w:ascii="Cambria Math" w:hAnsi="Cambria Math" w:cs="Cambria Math"/>
        </w:rPr>
        <w:instrText>‐</w:instrText>
      </w:r>
      <w:r w:rsidR="001A5DBA">
        <w:instrText>Hsiang&lt;/author&gt;&lt;author&gt;Shau, Wen</w:instrText>
      </w:r>
      <w:r w:rsidR="001A5DBA">
        <w:rPr>
          <w:rFonts w:ascii="Cambria Math" w:hAnsi="Cambria Math" w:cs="Cambria Math"/>
        </w:rPr>
        <w:instrText>‐</w:instrText>
      </w:r>
      <w:r w:rsidR="001A5DBA">
        <w:instrText>Yi&lt;/author&gt;&lt;author&gt;Chao, Day</w:instrText>
      </w:r>
      <w:r w:rsidR="001A5DBA">
        <w:rPr>
          <w:rFonts w:ascii="Cambria Math" w:hAnsi="Cambria Math" w:cs="Cambria Math"/>
        </w:rPr>
        <w:instrText>‐</w:instrText>
      </w:r>
      <w:r w:rsidR="001A5DBA">
        <w:instrText>Yu&lt;/author&gt;&lt;/authors&gt;&lt;/contributors&gt;&lt;titles&gt;&lt;title&gt;The applications of capture</w:instrText>
      </w:r>
      <w:r w:rsidR="001A5DBA">
        <w:rPr>
          <w:rFonts w:ascii="Cambria Math" w:hAnsi="Cambria Math" w:cs="Cambria Math"/>
        </w:rPr>
        <w:instrText>‐</w:instrText>
      </w:r>
      <w:r w:rsidR="001A5DBA">
        <w:instrText>recapture models to epidemiological data&lt;/title&gt;&lt;secondary-title&gt;Statistics in medicine&lt;/secondary-title&gt;&lt;/titles&gt;&lt;periodical&gt;&lt;full-title&gt;Statistics in Medicine&lt;/full-title&gt;&lt;abbr-1&gt;Stat. Med.&lt;/abbr-1&gt;&lt;abbr-2&gt;Stat Med&lt;/abbr-2&gt;&lt;/periodical&gt;&lt;pages&gt;3123-3157&lt;/pages&gt;&lt;volume&gt;20&lt;/volume&gt;&lt;number&gt;20&lt;/number&gt;&lt;dates&gt;&lt;year&gt;2001&lt;/year&gt;&lt;/dates&gt;&lt;isbn&gt;1097-0258&lt;/isbn&gt;&lt;urls&gt;&lt;/urls&gt;&lt;/record&gt;&lt;/Cite&gt;&lt;/EndNote&gt;</w:instrText>
      </w:r>
      <w:r w:rsidR="0089180A">
        <w:fldChar w:fldCharType="separate"/>
      </w:r>
      <w:r w:rsidR="001A5DBA" w:rsidRPr="001A5DBA">
        <w:rPr>
          <w:noProof/>
          <w:vertAlign w:val="superscript"/>
        </w:rPr>
        <w:t>2</w:t>
      </w:r>
      <w:r w:rsidR="0089180A">
        <w:fldChar w:fldCharType="end"/>
      </w:r>
      <w:r w:rsidRPr="00FA5AD6">
        <w:t xml:space="preserve"> The method</w:t>
      </w:r>
      <w:r w:rsidR="005D699F">
        <w:t>s</w:t>
      </w:r>
      <w:r w:rsidRPr="00FA5AD6">
        <w:t xml:space="preserve"> for epidemiological studies </w:t>
      </w:r>
      <w:r w:rsidR="00A10D10">
        <w:t xml:space="preserve">are </w:t>
      </w:r>
      <w:r w:rsidRPr="00FA5AD6">
        <w:t xml:space="preserve">drawn from </w:t>
      </w:r>
      <w:r w:rsidR="00241FFB">
        <w:t xml:space="preserve">those that measure </w:t>
      </w:r>
      <w:r w:rsidR="00A13C38">
        <w:t xml:space="preserve">the size of </w:t>
      </w:r>
      <w:r w:rsidRPr="00FA5AD6">
        <w:t xml:space="preserve">animal populations. The idea centres </w:t>
      </w:r>
      <w:r w:rsidR="0065751A" w:rsidRPr="00FA5AD6">
        <w:t>on</w:t>
      </w:r>
      <w:r w:rsidRPr="00FA5AD6">
        <w:t xml:space="preserve"> enumerating the total population by capturing a sample of animals on one occasion, m</w:t>
      </w:r>
      <w:r w:rsidR="005D699F">
        <w:t>arking them, releasing them,</w:t>
      </w:r>
      <w:r w:rsidRPr="00FA5AD6">
        <w:t xml:space="preserve"> </w:t>
      </w:r>
      <w:r w:rsidR="0065751A" w:rsidRPr="00FA5AD6">
        <w:t>and then</w:t>
      </w:r>
      <w:r w:rsidRPr="00FA5AD6">
        <w:t xml:space="preserve"> </w:t>
      </w:r>
      <w:r w:rsidR="00A13C38">
        <w:t>re-</w:t>
      </w:r>
      <w:r w:rsidRPr="00FA5AD6">
        <w:t xml:space="preserve">capturing another sample. The proportion of marked to unmarked animals in the second sample enables the total population to be estimated, if the two capture occasions are assumed independent. </w:t>
      </w:r>
    </w:p>
    <w:p w:rsidR="0072361F" w:rsidRDefault="00FA5AD6" w:rsidP="00254CC0">
      <w:r w:rsidRPr="00FA5AD6">
        <w:t xml:space="preserve">In epidemiology, the total population can be determined from lists of patients who have received healthcare services </w:t>
      </w:r>
      <w:r w:rsidR="00241FFB">
        <w:t>from more than one source</w:t>
      </w:r>
      <w:r w:rsidRPr="00FA5AD6">
        <w:t>. These lists are used in place of ‘captures’ in wildlife studies. A unique identifier is use</w:t>
      </w:r>
      <w:r w:rsidR="005D699F">
        <w:t>d</w:t>
      </w:r>
      <w:r w:rsidRPr="00FA5AD6">
        <w:t xml:space="preserve"> to </w:t>
      </w:r>
      <w:r w:rsidR="00935414">
        <w:t>link</w:t>
      </w:r>
      <w:r w:rsidRPr="00FA5AD6">
        <w:t xml:space="preserve"> individuals </w:t>
      </w:r>
      <w:r w:rsidR="00241FFB">
        <w:t>between</w:t>
      </w:r>
      <w:r w:rsidRPr="00FA5AD6">
        <w:t xml:space="preserve"> lists of </w:t>
      </w:r>
      <w:r w:rsidR="00911F5F">
        <w:t xml:space="preserve">people </w:t>
      </w:r>
      <w:r w:rsidR="005D699F">
        <w:t xml:space="preserve">receiving </w:t>
      </w:r>
      <w:r w:rsidRPr="00FA5AD6">
        <w:t>healthcare. The pattern of dependence between lists is then analysed using log-linear models that allow the unobserved population</w:t>
      </w:r>
      <w:r w:rsidR="0072361F">
        <w:t xml:space="preserve"> size to be estimated</w:t>
      </w:r>
      <w:r w:rsidRPr="00FA5AD6">
        <w:t>. The unobserved is then added to the observed (the total number of people on the lists) to calculate the population total.</w:t>
      </w:r>
      <w:r w:rsidR="004D71F8">
        <w:fldChar w:fldCharType="begin"/>
      </w:r>
      <w:r w:rsidR="001A5DBA">
        <w:instrText xml:space="preserve"> ADDIN EN.CITE &lt;EndNote&gt;&lt;Cite&gt;&lt;Author&gt;Crewe&lt;/Author&gt;&lt;Year&gt;2012&lt;/Year&gt;&lt;RecNum&gt;528&lt;/RecNum&gt;&lt;DisplayText&gt;&lt;style face="superscript"&gt;3&lt;/style&gt;&lt;/DisplayText&gt;&lt;record&gt;&lt;rec-number&gt;528&lt;/rec-number&gt;&lt;foreign-keys&gt;&lt;key app="EN" db-id="pettdxt9jpzrzoewd9bxex5pwxrppdzrewat" timestamp="1451953437"&gt;528&lt;/key&gt;&lt;/foreign-keys&gt;&lt;ref-type name="Journal Article"&gt;17&lt;/ref-type&gt;&lt;contributors&gt;&lt;authors&gt;&lt;author&gt;Crewe, Julie&lt;/author&gt;&lt;author&gt;Morgan, William H&lt;/author&gt;&lt;author&gt;Morlet, Nigel&lt;/author&gt;&lt;author&gt;Clark, Antony&lt;/author&gt;&lt;author&gt;Lam, Geoffrey&lt;/author&gt;&lt;author&gt;Parsons, Richard&lt;/author&gt;&lt;author&gt;Mukhtar, Aqif&lt;/author&gt;&lt;author&gt;Ng, Jonathon&lt;/author&gt;&lt;author&gt;Crowley, Margaret&lt;/author&gt;&lt;author&gt;Semmens, James&lt;/author&gt;&lt;/authors&gt;&lt;/contributors&gt;&lt;titles&gt;&lt;title&gt;Prevalence of blindness in Western Australia: a population study using capture and recapture techniques&lt;/title&gt;&lt;secondary-title&gt;British Journal of Ophthalmology&lt;/secondary-title&gt;&lt;/titles&gt;&lt;periodical&gt;&lt;full-title&gt;British Journal of Ophthalmology&lt;/full-title&gt;&lt;abbr-1&gt;Br. J. Ophthalmol.&lt;/abbr-1&gt;&lt;abbr-2&gt;Br J Ophthalmol&lt;/abbr-2&gt;&lt;/periodical&gt;&lt;pages&gt;478-481&lt;/pages&gt;&lt;volume&gt;96&lt;/volume&gt;&lt;number&gt;4&lt;/number&gt;&lt;dates&gt;&lt;year&gt;2012&lt;/year&gt;&lt;/dates&gt;&lt;isbn&gt;1468-2079&lt;/isbn&gt;&lt;urls&gt;&lt;/urls&gt;&lt;/record&gt;&lt;/Cite&gt;&lt;/EndNote&gt;</w:instrText>
      </w:r>
      <w:r w:rsidR="004D71F8">
        <w:fldChar w:fldCharType="separate"/>
      </w:r>
      <w:r w:rsidR="001A5DBA" w:rsidRPr="001A5DBA">
        <w:rPr>
          <w:noProof/>
          <w:vertAlign w:val="superscript"/>
        </w:rPr>
        <w:t>3</w:t>
      </w:r>
      <w:r w:rsidR="004D71F8">
        <w:fldChar w:fldCharType="end"/>
      </w:r>
      <w:r w:rsidRPr="00FA5AD6">
        <w:t xml:space="preserve">  </w:t>
      </w:r>
    </w:p>
    <w:p w:rsidR="0072361F" w:rsidRDefault="0072361F" w:rsidP="001959AE">
      <w:r>
        <w:t>Capture-recapture methods were</w:t>
      </w:r>
      <w:r w:rsidRPr="0072361F">
        <w:t xml:space="preserve"> recently </w:t>
      </w:r>
      <w:r>
        <w:t xml:space="preserve">used </w:t>
      </w:r>
      <w:r w:rsidRPr="0072361F">
        <w:t>to estimate the prevalence of</w:t>
      </w:r>
      <w:r>
        <w:t xml:space="preserve"> blindness in Western Australia.</w:t>
      </w:r>
      <w:r>
        <w:fldChar w:fldCharType="begin"/>
      </w:r>
      <w:r w:rsidR="001A5DBA">
        <w:instrText xml:space="preserve"> ADDIN EN.CITE &lt;EndNote&gt;&lt;Cite&gt;&lt;Author&gt;Crewe&lt;/Author&gt;&lt;Year&gt;2012&lt;/Year&gt;&lt;RecNum&gt;528&lt;/RecNum&gt;&lt;DisplayText&gt;&lt;style face="superscript"&gt;3&lt;/style&gt;&lt;/DisplayText&gt;&lt;record&gt;&lt;rec-number&gt;528&lt;/rec-number&gt;&lt;foreign-keys&gt;&lt;key app="EN" db-id="pettdxt9jpzrzoewd9bxex5pwxrppdzrewat" timestamp="1451953437"&gt;528&lt;/key&gt;&lt;/foreign-keys&gt;&lt;ref-type name="Journal Article"&gt;17&lt;/ref-type&gt;&lt;contributors&gt;&lt;authors&gt;&lt;author&gt;Crewe, Julie&lt;/author&gt;&lt;author&gt;Morgan, William H&lt;/author&gt;&lt;author&gt;Morlet, Nigel&lt;/author&gt;&lt;author&gt;Clark, Antony&lt;/author&gt;&lt;author&gt;Lam, Geoffrey&lt;/author&gt;&lt;author&gt;Parsons, Richard&lt;/author&gt;&lt;author&gt;Mukhtar, Aqif&lt;/author&gt;&lt;author&gt;Ng, Jonathon&lt;/author&gt;&lt;author&gt;Crowley, Margaret&lt;/author&gt;&lt;author&gt;Semmens, James&lt;/author&gt;&lt;/authors&gt;&lt;/contributors&gt;&lt;titles&gt;&lt;title&gt;Prevalence of blindness in Western Australia: a population study using capture and recapture techniques&lt;/title&gt;&lt;secondary-title&gt;British Journal of Ophthalmology&lt;/secondary-title&gt;&lt;/titles&gt;&lt;periodical&gt;&lt;full-title&gt;British Journal of Ophthalmology&lt;/full-title&gt;&lt;abbr-1&gt;Br. J. Ophthalmol.&lt;/abbr-1&gt;&lt;abbr-2&gt;Br J Ophthalmol&lt;/abbr-2&gt;&lt;/periodical&gt;&lt;pages&gt;478-481&lt;/pages&gt;&lt;volume&gt;96&lt;/volume&gt;&lt;number&gt;4&lt;/number&gt;&lt;dates&gt;&lt;year&gt;2012&lt;/year&gt;&lt;/dates&gt;&lt;isbn&gt;1468-2079&lt;/isbn&gt;&lt;urls&gt;&lt;/urls&gt;&lt;/record&gt;&lt;/Cite&gt;&lt;/EndNote&gt;</w:instrText>
      </w:r>
      <w:r>
        <w:fldChar w:fldCharType="separate"/>
      </w:r>
      <w:r w:rsidR="001A5DBA" w:rsidRPr="001A5DBA">
        <w:rPr>
          <w:noProof/>
          <w:vertAlign w:val="superscript"/>
        </w:rPr>
        <w:t>3</w:t>
      </w:r>
      <w:r>
        <w:fldChar w:fldCharType="end"/>
      </w:r>
      <w:r w:rsidRPr="0072361F">
        <w:t xml:space="preserve"> This study used three separate lists of patients who had undergone an ophthalmic examination to </w:t>
      </w:r>
      <w:r w:rsidR="00935414">
        <w:t>assess</w:t>
      </w:r>
      <w:r w:rsidRPr="0072361F">
        <w:t xml:space="preserve"> the total burden of blindness and low vision in the region. The results obtained in this study were </w:t>
      </w:r>
      <w:r>
        <w:t>similar to</w:t>
      </w:r>
      <w:r w:rsidRPr="0072361F">
        <w:t xml:space="preserve"> those </w:t>
      </w:r>
      <w:r>
        <w:t>from</w:t>
      </w:r>
      <w:r w:rsidRPr="0072361F">
        <w:t xml:space="preserve"> a large population-based </w:t>
      </w:r>
      <w:r w:rsidR="00935414">
        <w:t>survey</w:t>
      </w:r>
      <w:r w:rsidR="00D97099">
        <w:t xml:space="preserve"> in the same country:</w:t>
      </w:r>
      <w:r w:rsidRPr="0072361F">
        <w:t xml:space="preserve"> </w:t>
      </w:r>
      <w:r>
        <w:t>the Blue Mountains Eye Study.</w:t>
      </w:r>
      <w:r w:rsidRPr="0072361F">
        <w:t xml:space="preserve"> </w:t>
      </w:r>
    </w:p>
    <w:p w:rsidR="0072361F" w:rsidRDefault="0072361F" w:rsidP="001959AE">
      <w:pPr>
        <w:rPr>
          <w:b/>
          <w:bCs/>
        </w:rPr>
      </w:pPr>
      <w:r w:rsidRPr="0072361F">
        <w:t>The ability to obtain three lists in Auckland</w:t>
      </w:r>
      <w:r>
        <w:t>,</w:t>
      </w:r>
      <w:r w:rsidRPr="0072361F">
        <w:t xml:space="preserve"> </w:t>
      </w:r>
      <w:r w:rsidR="00EC453B">
        <w:t xml:space="preserve">and two lists in other </w:t>
      </w:r>
      <w:r w:rsidR="000A45E6">
        <w:t xml:space="preserve">regions </w:t>
      </w:r>
      <w:r w:rsidR="00EC453B">
        <w:t xml:space="preserve">of </w:t>
      </w:r>
      <w:r w:rsidRPr="0072361F">
        <w:t>New Zealand</w:t>
      </w:r>
      <w:r w:rsidR="00E026BC">
        <w:t xml:space="preserve"> that were </w:t>
      </w:r>
      <w:r w:rsidRPr="0072361F">
        <w:t xml:space="preserve">similar to those used in Western Australia, </w:t>
      </w:r>
      <w:r>
        <w:t>enabled a</w:t>
      </w:r>
      <w:r w:rsidRPr="0072361F">
        <w:t xml:space="preserve"> capture-recapture study of the prevalence of blindness in </w:t>
      </w:r>
      <w:r w:rsidR="00E026BC">
        <w:t xml:space="preserve">selected regions of </w:t>
      </w:r>
      <w:r w:rsidRPr="0072361F">
        <w:t>New Zealand</w:t>
      </w:r>
      <w:r>
        <w:t xml:space="preserve"> to be carried out</w:t>
      </w:r>
      <w:r w:rsidRPr="0072361F">
        <w:t>.</w:t>
      </w:r>
      <w:r w:rsidR="00241FFB">
        <w:t xml:space="preserve"> </w:t>
      </w:r>
    </w:p>
    <w:p w:rsidR="00C53182" w:rsidRDefault="008462D6" w:rsidP="001959AE">
      <w:pPr>
        <w:pStyle w:val="Heading1"/>
      </w:pPr>
      <w:r>
        <w:t>Materials and m</w:t>
      </w:r>
      <w:r w:rsidR="00C35583">
        <w:t>ethods</w:t>
      </w:r>
      <w:r w:rsidR="00C53182">
        <w:t xml:space="preserve"> </w:t>
      </w:r>
    </w:p>
    <w:p w:rsidR="00254CC0" w:rsidRDefault="00254CC0" w:rsidP="00254CC0">
      <w:r>
        <w:t>The project aimed to</w:t>
      </w:r>
      <w:r w:rsidR="00C510A8">
        <w:t xml:space="preserve"> estimate the three year </w:t>
      </w:r>
      <w:r w:rsidR="00175D1C">
        <w:t xml:space="preserve">cumulative </w:t>
      </w:r>
      <w:r w:rsidR="00C510A8">
        <w:t xml:space="preserve">incidence </w:t>
      </w:r>
      <w:r>
        <w:t>of blindness</w:t>
      </w:r>
      <w:r w:rsidR="00682164">
        <w:t xml:space="preserve"> </w:t>
      </w:r>
      <w:r w:rsidR="001A6F11">
        <w:t>(</w:t>
      </w:r>
      <w:r w:rsidR="00682164">
        <w:t>as defined by the NZBF membership criteria for blindness</w:t>
      </w:r>
      <w:r w:rsidR="001A6F11">
        <w:t>)</w:t>
      </w:r>
      <w:r>
        <w:t>, between the dates of Sep</w:t>
      </w:r>
      <w:r w:rsidR="00175D1C">
        <w:t xml:space="preserve">tember 2011 and September 2014 in </w:t>
      </w:r>
      <w:r w:rsidR="00C616A4">
        <w:t>several</w:t>
      </w:r>
      <w:r w:rsidR="00175D1C">
        <w:t xml:space="preserve"> </w:t>
      </w:r>
      <w:r w:rsidR="002B6F26">
        <w:t xml:space="preserve">District Health Board </w:t>
      </w:r>
      <w:r w:rsidR="00B67A50">
        <w:t xml:space="preserve">(DHB) </w:t>
      </w:r>
      <w:r w:rsidR="000B2482">
        <w:t>region</w:t>
      </w:r>
      <w:r w:rsidR="006469C5">
        <w:t>s</w:t>
      </w:r>
      <w:r w:rsidR="00175D1C">
        <w:t xml:space="preserve"> of New Zealand.</w:t>
      </w:r>
      <w:r w:rsidR="00C616A4">
        <w:t xml:space="preserve"> Studies were undertaken in Auckland and Waitemata, Counties Manukau, Wellington, Canterbury and Dunedin. </w:t>
      </w:r>
    </w:p>
    <w:p w:rsidR="00D47E8D" w:rsidRDefault="00D47E8D" w:rsidP="00D47E8D">
      <w:pPr>
        <w:pStyle w:val="Heading3"/>
      </w:pPr>
      <w:r>
        <w:t>Inclusion criteria</w:t>
      </w:r>
    </w:p>
    <w:p w:rsidR="00854C7C" w:rsidRDefault="00D47E8D" w:rsidP="00254CC0">
      <w:r>
        <w:t>Subjects</w:t>
      </w:r>
      <w:r w:rsidR="00854C7C">
        <w:t xml:space="preserve"> </w:t>
      </w:r>
      <w:r w:rsidR="0050639F">
        <w:t xml:space="preserve">were included if they </w:t>
      </w:r>
      <w:r w:rsidR="00854C7C">
        <w:t xml:space="preserve">had </w:t>
      </w:r>
      <w:r w:rsidR="0050639F">
        <w:t xml:space="preserve">an </w:t>
      </w:r>
      <w:r w:rsidR="00854C7C">
        <w:t xml:space="preserve">ophthalmic examination between </w:t>
      </w:r>
      <w:r w:rsidR="005D699F">
        <w:t>1</w:t>
      </w:r>
      <w:r w:rsidR="00050EBE">
        <w:t xml:space="preserve"> </w:t>
      </w:r>
      <w:r w:rsidR="00854C7C">
        <w:t xml:space="preserve">September 2011 and </w:t>
      </w:r>
      <w:r w:rsidR="005D699F">
        <w:t xml:space="preserve">1 </w:t>
      </w:r>
      <w:r w:rsidR="00854C7C">
        <w:t>September 2014</w:t>
      </w:r>
      <w:r w:rsidR="00513750">
        <w:t xml:space="preserve">, </w:t>
      </w:r>
      <w:r w:rsidR="0050639F">
        <w:t>and were resident</w:t>
      </w:r>
      <w:r w:rsidR="00513750">
        <w:t xml:space="preserve"> </w:t>
      </w:r>
      <w:r>
        <w:t>in the DHB</w:t>
      </w:r>
      <w:r w:rsidR="004579C1">
        <w:t xml:space="preserve"> region</w:t>
      </w:r>
      <w:r w:rsidR="000A45E6">
        <w:t xml:space="preserve"> (as defined by their permanent</w:t>
      </w:r>
      <w:r w:rsidR="001A6F11">
        <w:t xml:space="preserve"> residential</w:t>
      </w:r>
      <w:r w:rsidR="000A45E6">
        <w:t xml:space="preserve"> address)</w:t>
      </w:r>
      <w:r>
        <w:t>;</w:t>
      </w:r>
      <w:r w:rsidR="00513750">
        <w:t xml:space="preserve"> ha</w:t>
      </w:r>
      <w:r>
        <w:t>d</w:t>
      </w:r>
      <w:r w:rsidR="00513750">
        <w:t xml:space="preserve"> a N</w:t>
      </w:r>
      <w:r>
        <w:t xml:space="preserve">ational </w:t>
      </w:r>
      <w:r w:rsidR="00513750">
        <w:t>H</w:t>
      </w:r>
      <w:r>
        <w:t xml:space="preserve">ealth </w:t>
      </w:r>
      <w:r w:rsidR="00513750">
        <w:t>I</w:t>
      </w:r>
      <w:r>
        <w:t>ndex (NHI)</w:t>
      </w:r>
      <w:r w:rsidR="00513750">
        <w:t xml:space="preserve"> </w:t>
      </w:r>
      <w:r>
        <w:t>code</w:t>
      </w:r>
      <w:r w:rsidR="00513750">
        <w:t xml:space="preserve"> t</w:t>
      </w:r>
      <w:r>
        <w:t>o enable matching between lists;</w:t>
      </w:r>
      <w:r w:rsidR="00854C7C">
        <w:t xml:space="preserve"> and </w:t>
      </w:r>
      <w:r w:rsidR="005D699F">
        <w:t>were</w:t>
      </w:r>
      <w:r w:rsidR="00854C7C">
        <w:t xml:space="preserve"> aged 15 years </w:t>
      </w:r>
      <w:r w:rsidR="002B6F26">
        <w:t xml:space="preserve">or more </w:t>
      </w:r>
      <w:r w:rsidR="00854C7C">
        <w:t>at the time of examination.</w:t>
      </w:r>
    </w:p>
    <w:p w:rsidR="00D47E8D" w:rsidRDefault="00D47E8D" w:rsidP="00254CC0">
      <w:r w:rsidRPr="00D47E8D">
        <w:t xml:space="preserve">Subjects also needed to meet </w:t>
      </w:r>
      <w:r w:rsidR="001A6F11">
        <w:t xml:space="preserve">the NZBF </w:t>
      </w:r>
      <w:r w:rsidR="00EB3624">
        <w:t xml:space="preserve">membership </w:t>
      </w:r>
      <w:r w:rsidR="005D699F">
        <w:t>criteria for</w:t>
      </w:r>
      <w:r>
        <w:t xml:space="preserve"> </w:t>
      </w:r>
      <w:r w:rsidR="001A6F11">
        <w:t>blindness,</w:t>
      </w:r>
      <w:r w:rsidRPr="00D47E8D">
        <w:t xml:space="preserve"> a best corrected visual acuity (BCVA) of ≤ 6/</w:t>
      </w:r>
      <w:r w:rsidR="00241FFB">
        <w:t>24</w:t>
      </w:r>
      <w:r w:rsidRPr="00D47E8D">
        <w:t xml:space="preserve"> in the better-seeing eye. </w:t>
      </w:r>
      <w:r w:rsidR="00241FFB">
        <w:t>This definition is used</w:t>
      </w:r>
      <w:r w:rsidR="007D1B61">
        <w:t xml:space="preserve"> to classify patients in New Zealand as members and recipients of free vis</w:t>
      </w:r>
      <w:r w:rsidR="00BC429F">
        <w:t>ion</w:t>
      </w:r>
      <w:r w:rsidR="007D1B61">
        <w:t xml:space="preserve"> rehabilitative services with </w:t>
      </w:r>
      <w:r w:rsidR="001A6F11">
        <w:t>the NZBF</w:t>
      </w:r>
      <w:r w:rsidRPr="00D47E8D">
        <w:t xml:space="preserve"> (which also includes bilateral restricted fields to &lt;</w:t>
      </w:r>
      <w:r>
        <w:t xml:space="preserve"> </w:t>
      </w:r>
      <w:r w:rsidRPr="00D47E8D">
        <w:t xml:space="preserve">20 degrees).  </w:t>
      </w:r>
      <w:r w:rsidR="00241FFB">
        <w:t>For international comparisons</w:t>
      </w:r>
      <w:r w:rsidR="003B14F0">
        <w:t xml:space="preserve"> only</w:t>
      </w:r>
      <w:r w:rsidR="00241FFB">
        <w:t>,</w:t>
      </w:r>
      <w:r w:rsidR="00B11245">
        <w:t xml:space="preserve"> a definition of </w:t>
      </w:r>
      <w:r w:rsidR="00B11245" w:rsidRPr="00D47E8D">
        <w:t>≤ 6/</w:t>
      </w:r>
      <w:r w:rsidR="00B11245">
        <w:t xml:space="preserve">60 BCVA was also used and the results are presented in an appendix. </w:t>
      </w:r>
      <w:r w:rsidRPr="00D47E8D">
        <w:t>Visual field information was not considered, since it was inconsistently recorded between lists.</w:t>
      </w:r>
    </w:p>
    <w:p w:rsidR="00D47E8D" w:rsidRDefault="00D47E8D" w:rsidP="001959AE">
      <w:pPr>
        <w:pStyle w:val="Heading3"/>
      </w:pPr>
      <w:r>
        <w:t>Lists</w:t>
      </w:r>
    </w:p>
    <w:p w:rsidR="00C510A8" w:rsidRDefault="00D47E8D" w:rsidP="00254CC0">
      <w:r w:rsidRPr="00D47E8D">
        <w:t xml:space="preserve">Subjects were obtained from lists of people who </w:t>
      </w:r>
      <w:r w:rsidR="00935414">
        <w:t>received</w:t>
      </w:r>
      <w:r w:rsidRPr="00D47E8D">
        <w:t xml:space="preserve"> eye health or rehabili</w:t>
      </w:r>
      <w:r>
        <w:t xml:space="preserve">tation services in the district, in which a Snellen acuity examination had been carried out. </w:t>
      </w:r>
      <w:r w:rsidR="00C510A8">
        <w:t xml:space="preserve">The three lists </w:t>
      </w:r>
      <w:r w:rsidR="0050639F">
        <w:t xml:space="preserve">were </w:t>
      </w:r>
      <w:r w:rsidR="002B6F26">
        <w:t>sourced</w:t>
      </w:r>
      <w:r w:rsidR="00C510A8">
        <w:t xml:space="preserve"> from:</w:t>
      </w:r>
    </w:p>
    <w:p w:rsidR="00C510A8" w:rsidRPr="00C510A8" w:rsidRDefault="00C510A8" w:rsidP="00C510A8">
      <w:pPr>
        <w:pStyle w:val="ListParagraph"/>
        <w:numPr>
          <w:ilvl w:val="0"/>
          <w:numId w:val="3"/>
        </w:numPr>
        <w:rPr>
          <w:rFonts w:ascii="Georgia" w:hAnsi="Georgia"/>
        </w:rPr>
      </w:pPr>
      <w:r w:rsidRPr="00C510A8">
        <w:rPr>
          <w:rFonts w:ascii="Georgia" w:hAnsi="Georgia"/>
        </w:rPr>
        <w:t>A low vision ophthalmology clinic</w:t>
      </w:r>
      <w:r>
        <w:rPr>
          <w:rFonts w:ascii="Georgia" w:hAnsi="Georgia"/>
        </w:rPr>
        <w:t xml:space="preserve"> from a regional</w:t>
      </w:r>
      <w:r w:rsidRPr="00C510A8">
        <w:rPr>
          <w:rFonts w:ascii="Georgia" w:hAnsi="Georgia"/>
        </w:rPr>
        <w:t xml:space="preserve"> </w:t>
      </w:r>
      <w:r w:rsidR="00175D1C">
        <w:rPr>
          <w:rFonts w:ascii="Georgia" w:hAnsi="Georgia"/>
        </w:rPr>
        <w:t xml:space="preserve">secondary </w:t>
      </w:r>
      <w:r w:rsidRPr="00C510A8">
        <w:rPr>
          <w:rFonts w:ascii="Georgia" w:hAnsi="Georgia"/>
        </w:rPr>
        <w:t>public hospital</w:t>
      </w:r>
      <w:r>
        <w:rPr>
          <w:rFonts w:ascii="Georgia" w:hAnsi="Georgia"/>
        </w:rPr>
        <w:t xml:space="preserve"> service</w:t>
      </w:r>
      <w:r w:rsidR="005C050A">
        <w:rPr>
          <w:rFonts w:ascii="Georgia" w:hAnsi="Georgia"/>
        </w:rPr>
        <w:t xml:space="preserve"> </w:t>
      </w:r>
    </w:p>
    <w:p w:rsidR="00C510A8" w:rsidRDefault="00C510A8" w:rsidP="00C510A8">
      <w:pPr>
        <w:pStyle w:val="ListParagraph"/>
        <w:numPr>
          <w:ilvl w:val="0"/>
          <w:numId w:val="3"/>
        </w:numPr>
        <w:rPr>
          <w:rFonts w:ascii="Georgia" w:hAnsi="Georgia"/>
        </w:rPr>
      </w:pPr>
      <w:r w:rsidRPr="00C510A8">
        <w:rPr>
          <w:rFonts w:ascii="Georgia" w:hAnsi="Georgia"/>
        </w:rPr>
        <w:t>An op</w:t>
      </w:r>
      <w:r w:rsidR="00D47E8D">
        <w:rPr>
          <w:rFonts w:ascii="Georgia" w:hAnsi="Georgia"/>
        </w:rPr>
        <w:t>tometry</w:t>
      </w:r>
      <w:r>
        <w:rPr>
          <w:rFonts w:ascii="Georgia" w:hAnsi="Georgia"/>
        </w:rPr>
        <w:t xml:space="preserve"> clinic associated with </w:t>
      </w:r>
      <w:r w:rsidR="005D699F">
        <w:rPr>
          <w:rFonts w:ascii="Georgia" w:hAnsi="Georgia"/>
        </w:rPr>
        <w:t>the</w:t>
      </w:r>
      <w:r>
        <w:rPr>
          <w:rFonts w:ascii="Georgia" w:hAnsi="Georgia"/>
        </w:rPr>
        <w:t xml:space="preserve"> </w:t>
      </w:r>
      <w:r w:rsidRPr="00C510A8">
        <w:rPr>
          <w:rFonts w:ascii="Georgia" w:hAnsi="Georgia"/>
        </w:rPr>
        <w:t>University</w:t>
      </w:r>
      <w:r w:rsidR="005D699F">
        <w:rPr>
          <w:rFonts w:ascii="Georgia" w:hAnsi="Georgia"/>
        </w:rPr>
        <w:t xml:space="preserve"> of Auckland</w:t>
      </w:r>
      <w:r w:rsidR="00D47E8D">
        <w:rPr>
          <w:rFonts w:ascii="Georgia" w:hAnsi="Georgia"/>
        </w:rPr>
        <w:t xml:space="preserve"> </w:t>
      </w:r>
    </w:p>
    <w:p w:rsidR="00C510A8" w:rsidRDefault="00C510A8" w:rsidP="00C510A8">
      <w:pPr>
        <w:pStyle w:val="ListParagraph"/>
        <w:numPr>
          <w:ilvl w:val="0"/>
          <w:numId w:val="3"/>
        </w:numPr>
        <w:rPr>
          <w:rFonts w:ascii="Georgia" w:hAnsi="Georgia"/>
        </w:rPr>
      </w:pPr>
      <w:r>
        <w:rPr>
          <w:rFonts w:ascii="Georgia" w:hAnsi="Georgia"/>
        </w:rPr>
        <w:t xml:space="preserve">Membership applications to the </w:t>
      </w:r>
      <w:r w:rsidR="006469C5">
        <w:rPr>
          <w:rFonts w:ascii="Georgia" w:hAnsi="Georgia"/>
        </w:rPr>
        <w:t>NZBF</w:t>
      </w:r>
      <w:r w:rsidR="005C050A">
        <w:rPr>
          <w:rFonts w:ascii="Georgia" w:hAnsi="Georgia"/>
        </w:rPr>
        <w:t xml:space="preserve"> </w:t>
      </w:r>
    </w:p>
    <w:p w:rsidR="00785462" w:rsidRDefault="00C616A4" w:rsidP="00C510A8">
      <w:r>
        <w:t xml:space="preserve">All three lists were available in the Auckland and Waitemata District Health Board regions, but only the ophthalmology and </w:t>
      </w:r>
      <w:r w:rsidR="006469C5">
        <w:t>NZBF</w:t>
      </w:r>
      <w:r>
        <w:t xml:space="preserve"> lists were able to be obtained in other regions of the country. </w:t>
      </w:r>
      <w:r w:rsidR="00C510A8">
        <w:t>Individuals were uniquely identifi</w:t>
      </w:r>
      <w:r w:rsidR="00D47E8D">
        <w:t xml:space="preserve">ed </w:t>
      </w:r>
      <w:r w:rsidR="002B6F26">
        <w:t>on each</w:t>
      </w:r>
      <w:r w:rsidR="00D47E8D">
        <w:t xml:space="preserve"> list by linking with </w:t>
      </w:r>
      <w:r w:rsidR="00C510A8">
        <w:t xml:space="preserve">the </w:t>
      </w:r>
      <w:r w:rsidR="00935414">
        <w:t>National Health Index (</w:t>
      </w:r>
      <w:r w:rsidR="00D47E8D">
        <w:t>NHI</w:t>
      </w:r>
      <w:r w:rsidR="00935414">
        <w:t>)</w:t>
      </w:r>
      <w:r w:rsidR="00D47E8D">
        <w:t xml:space="preserve"> used in the New Zealand health system</w:t>
      </w:r>
      <w:r w:rsidR="00C510A8">
        <w:t xml:space="preserve">. Age of individuals at screening time was calculated from the time difference between the date of birth and that of the eye examination. </w:t>
      </w:r>
    </w:p>
    <w:p w:rsidR="00D47E8D" w:rsidRDefault="00D47E8D" w:rsidP="001959AE">
      <w:pPr>
        <w:pStyle w:val="Heading3"/>
      </w:pPr>
      <w:r>
        <w:t>Data processing</w:t>
      </w:r>
    </w:p>
    <w:p w:rsidR="00D47E8D" w:rsidRDefault="00D47E8D" w:rsidP="00D47E8D">
      <w:r>
        <w:t>All data was standardis</w:t>
      </w:r>
      <w:r w:rsidRPr="00D47E8D">
        <w:t xml:space="preserve">ed into a single format. Data was checked for plausibility and consistency. Cases on the </w:t>
      </w:r>
      <w:r w:rsidR="00B67A50">
        <w:t>NZBF</w:t>
      </w:r>
      <w:r w:rsidRPr="00D47E8D">
        <w:t xml:space="preserve"> list that did not have an NHI </w:t>
      </w:r>
      <w:r w:rsidR="005D699F">
        <w:t>code</w:t>
      </w:r>
      <w:r w:rsidRPr="00D47E8D">
        <w:t xml:space="preserve"> were removed from the study. Cases were assigned to a ‘blind’ category </w:t>
      </w:r>
      <w:r w:rsidR="005D699F">
        <w:t>based on the BCVA in their best-</w:t>
      </w:r>
      <w:r w:rsidRPr="00D47E8D">
        <w:t xml:space="preserve">seeing eye. </w:t>
      </w:r>
    </w:p>
    <w:p w:rsidR="007503A8" w:rsidRDefault="007503A8" w:rsidP="001959AE">
      <w:pPr>
        <w:pStyle w:val="Heading3"/>
      </w:pPr>
      <w:r>
        <w:t>Statistical analysis</w:t>
      </w:r>
    </w:p>
    <w:p w:rsidR="00A61977" w:rsidRPr="00A61977" w:rsidRDefault="00A61977" w:rsidP="002624E6">
      <w:pPr>
        <w:rPr>
          <w:rFonts w:eastAsiaTheme="minorEastAsia"/>
        </w:rPr>
      </w:pPr>
      <w:r>
        <w:t xml:space="preserve">The total number of </w:t>
      </w:r>
      <w:r w:rsidR="00A331ED">
        <w:t>blind</w:t>
      </w:r>
      <w:r>
        <w:t xml:space="preserve"> people in the region was calculated by adding the observed population to the exponentiated intercept term of the </w:t>
      </w:r>
      <w:r w:rsidR="005D699F">
        <w:t xml:space="preserve">log-linear </w:t>
      </w:r>
      <w:r>
        <w:t>model</w:t>
      </w:r>
      <w:r w:rsidR="005D699F">
        <w:t xml:space="preserve"> of appearance and overlap of the lists of healthcare</w:t>
      </w:r>
      <w:r>
        <w:t xml:space="preserve">. </w:t>
      </w:r>
      <w:r w:rsidR="00D60EB2" w:rsidRPr="00A61977">
        <w:rPr>
          <w:i/>
        </w:rPr>
        <w:t>R</w:t>
      </w:r>
      <w:r w:rsidR="00D60EB2">
        <w:t xml:space="preserve"> software (version 3.23) was used.</w:t>
      </w:r>
      <w:r w:rsidR="00D60EB2">
        <w:fldChar w:fldCharType="begin"/>
      </w:r>
      <w:r w:rsidR="000E063B">
        <w:instrText xml:space="preserve"> ADDIN EN.CITE &lt;EndNote&gt;&lt;Cite&gt;&lt;Author&gt;R Development Core Team&lt;/Author&gt;&lt;Year&gt;2007&lt;/Year&gt;&lt;RecNum&gt;807&lt;/RecNum&gt;&lt;DisplayText&gt;&lt;style face="superscript"&gt;4&lt;/style&gt;&lt;/DisplayText&gt;&lt;record&gt;&lt;rec-number&gt;807&lt;/rec-number&gt;&lt;foreign-keys&gt;&lt;key app="EN" db-id="pettdxt9jpzrzoewd9bxex5pwxrppdzrewat" timestamp="1451960500"&gt;807&lt;/key&gt;&lt;/foreign-keys&gt;&lt;ref-type name="Report"&gt;27&lt;/ref-type&gt;&lt;contributors&gt;&lt;authors&gt;&lt;author&gt;R Development Core Team,.&lt;/author&gt;&lt;/authors&gt;&lt;/contributors&gt;&lt;titles&gt;&lt;title&gt;R: A language and environment for statistical computing&lt;/title&gt;&lt;/titles&gt;&lt;number&gt;ISBN 3-900051-07-0&lt;/number&gt;&lt;dates&gt;&lt;year&gt;2007&lt;/year&gt;&lt;/dates&gt;&lt;pub-location&gt;Vienna&lt;/pub-location&gt;&lt;publisher&gt;R Foundation for Statistical Computing&lt;/publisher&gt;&lt;urls&gt;&lt;related-urls&gt;&lt;url&gt;http://www.R-project.org.&lt;/url&gt;&lt;/related-urls&gt;&lt;/urls&gt;&lt;/record&gt;&lt;/Cite&gt;&lt;/EndNote&gt;</w:instrText>
      </w:r>
      <w:r w:rsidR="00D60EB2">
        <w:fldChar w:fldCharType="separate"/>
      </w:r>
      <w:r w:rsidR="000E063B" w:rsidRPr="000E063B">
        <w:rPr>
          <w:noProof/>
          <w:vertAlign w:val="superscript"/>
        </w:rPr>
        <w:t>4</w:t>
      </w:r>
      <w:r w:rsidR="00D60EB2">
        <w:fldChar w:fldCharType="end"/>
      </w:r>
      <w:r w:rsidR="00D60EB2">
        <w:t xml:space="preserve"> </w:t>
      </w:r>
      <w:r w:rsidR="00B561DE">
        <w:t xml:space="preserve">Overlap between the lists was visualised using the </w:t>
      </w:r>
      <w:r w:rsidR="00B561DE" w:rsidRPr="00B561DE">
        <w:rPr>
          <w:i/>
        </w:rPr>
        <w:t>srd</w:t>
      </w:r>
      <w:r w:rsidR="00B561DE">
        <w:t xml:space="preserve"> package which </w:t>
      </w:r>
      <w:r w:rsidR="00785462">
        <w:t>renders</w:t>
      </w:r>
      <w:r w:rsidR="00B561DE">
        <w:t xml:space="preserve"> scaled rectangle diagrams.</w:t>
      </w:r>
      <w:r w:rsidR="003F1E9D">
        <w:fldChar w:fldCharType="begin"/>
      </w:r>
      <w:r w:rsidR="000E063B">
        <w:instrText xml:space="preserve"> ADDIN EN.CITE &lt;EndNote&gt;&lt;Cite&gt;&lt;Author&gt;Marshall&lt;/Author&gt;&lt;Year&gt;2005&lt;/Year&gt;&lt;RecNum&gt;113&lt;/RecNum&gt;&lt;DisplayText&gt;&lt;style face="superscript"&gt;5&lt;/style&gt;&lt;/DisplayText&gt;&lt;record&gt;&lt;rec-number&gt;113&lt;/rec-number&gt;&lt;foreign-keys&gt;&lt;key app="EN" db-id="pettdxt9jpzrzoewd9bxex5pwxrppdzrewat" timestamp="0"&gt;113&lt;/key&gt;&lt;/foreign-keys&gt;&lt;ref-type name="Journal Article"&gt;17&lt;/ref-type&gt;&lt;contributors&gt;&lt;authors&gt;&lt;author&gt;Marshall, R. J.&lt;/author&gt;&lt;/authors&gt;&lt;/contributors&gt;&lt;auth-address&gt;Section of Epidemiology and Biostatistics, School of Population Health, Faculty of Medical and Health Sciences, University of Auckland, New Zealand. rj.marshall@auckland.ac.nz&lt;/auth-address&gt;&lt;titles&gt;&lt;title&gt;Scaled rectangle diagrams can be used to visualize clinical and epidemiological data&lt;/title&gt;&lt;secondary-title&gt;Journal of Clinical Epidemiology&lt;/secondary-title&gt;&lt;/titles&gt;&lt;periodical&gt;&lt;full-title&gt;Journal of Clinical Epidemiology&lt;/full-title&gt;&lt;abbr-1&gt;J. Clin. Epidemiol.&lt;/abbr-1&gt;&lt;abbr-2&gt;J Clin Epidemiol&lt;/abbr-2&gt;&lt;/periodical&gt;&lt;pages&gt;974-81&lt;/pages&gt;&lt;volume&gt;58&lt;/volume&gt;&lt;number&gt;10&lt;/number&gt;&lt;dates&gt;&lt;year&gt;2005&lt;/year&gt;&lt;pub-dates&gt;&lt;date&gt;Oct&lt;/date&gt;&lt;/pub-dates&gt;&lt;/dates&gt;&lt;accession-num&gt;16168342&lt;/accession-num&gt;&lt;work-type&gt;Review&lt;/work-type&gt;&lt;urls&gt;&lt;/urls&gt;&lt;/record&gt;&lt;/Cite&gt;&lt;/EndNote&gt;</w:instrText>
      </w:r>
      <w:r w:rsidR="003F1E9D">
        <w:fldChar w:fldCharType="separate"/>
      </w:r>
      <w:r w:rsidR="000E063B" w:rsidRPr="000E063B">
        <w:rPr>
          <w:noProof/>
          <w:vertAlign w:val="superscript"/>
        </w:rPr>
        <w:t>5</w:t>
      </w:r>
      <w:r w:rsidR="003F1E9D">
        <w:fldChar w:fldCharType="end"/>
      </w:r>
      <w:r w:rsidR="00B561DE">
        <w:t xml:space="preserve"> </w:t>
      </w:r>
      <w:r>
        <w:t xml:space="preserve">The </w:t>
      </w:r>
      <w:r w:rsidRPr="00A61977">
        <w:rPr>
          <w:i/>
        </w:rPr>
        <w:t>Rcapture</w:t>
      </w:r>
      <w:r>
        <w:t xml:space="preserve"> package</w:t>
      </w:r>
      <w:r>
        <w:fldChar w:fldCharType="begin"/>
      </w:r>
      <w:r w:rsidR="000E063B">
        <w:instrText xml:space="preserve"> ADDIN EN.CITE &lt;EndNote&gt;&lt;Cite&gt;&lt;Author&gt;Baillargeon&lt;/Author&gt;&lt;Year&gt;2007&lt;/Year&gt;&lt;RecNum&gt;50&lt;/RecNum&gt;&lt;DisplayText&gt;&lt;style face="superscript"&gt;6&lt;/style&gt;&lt;/DisplayText&gt;&lt;record&gt;&lt;rec-number&gt;50&lt;/rec-number&gt;&lt;foreign-keys&gt;&lt;key app="EN" db-id="pettdxt9jpzrzoewd9bxex5pwxrppdzrewat" timestamp="0"&gt;50&lt;/key&gt;&lt;/foreign-keys&gt;&lt;ref-type name="Journal Article"&gt;17&lt;/ref-type&gt;&lt;contributors&gt;&lt;authors&gt;&lt;author&gt;Baillargeon, S.&lt;/author&gt;&lt;author&gt;Rivest, L-P.&lt;/author&gt;&lt;/authors&gt;&lt;/contributors&gt;&lt;titles&gt;&lt;title&gt;Rcapture: Loglinear Models for Capture-Recapture in R&lt;/title&gt;&lt;secondary-title&gt;J Stat Softw&lt;/secondary-title&gt;&lt;/titles&gt;&lt;periodical&gt;&lt;full-title&gt;J STAT SOFTW&lt;/full-title&gt;&lt;/periodical&gt;&lt;pages&gt;1-31&lt;/pages&gt;&lt;volume&gt;19&lt;/volume&gt;&lt;number&gt;5&lt;/number&gt;&lt;dates&gt;&lt;year&gt;2007&lt;/year&gt;&lt;/dates&gt;&lt;urls&gt;&lt;/urls&gt;&lt;/record&gt;&lt;/Cite&gt;&lt;/EndNote&gt;</w:instrText>
      </w:r>
      <w:r>
        <w:fldChar w:fldCharType="separate"/>
      </w:r>
      <w:r w:rsidR="000E063B" w:rsidRPr="000E063B">
        <w:rPr>
          <w:noProof/>
          <w:vertAlign w:val="superscript"/>
        </w:rPr>
        <w:t>6</w:t>
      </w:r>
      <w:r>
        <w:fldChar w:fldCharType="end"/>
      </w:r>
      <w:r>
        <w:t xml:space="preserve"> was used to estimate the 95% confidence interval associated with the log-linear model by profile likelihood. </w:t>
      </w:r>
    </w:p>
    <w:p w:rsidR="00A61977" w:rsidRDefault="00785462" w:rsidP="00A61977">
      <w:r>
        <w:t>During analysis,</w:t>
      </w:r>
      <w:r w:rsidR="0032480B">
        <w:t xml:space="preserve"> </w:t>
      </w:r>
      <w:r w:rsidR="00A61977">
        <w:t xml:space="preserve">log-linear models of the summarised data were calculated with varying complexity of interaction between lists. The model </w:t>
      </w:r>
      <w:r w:rsidR="006625CE">
        <w:t>that minimised</w:t>
      </w:r>
      <w:r w:rsidR="00A61977">
        <w:t xml:space="preserve"> Akaike’s information criterion statistic was selected as a trade-off between the two aims of best model fit and model parsimony.</w:t>
      </w:r>
      <w:r w:rsidR="00854C7C">
        <w:t xml:space="preserve"> </w:t>
      </w:r>
      <w:r w:rsidR="001D12B1">
        <w:t xml:space="preserve">This step was only relevant to the three list model for the </w:t>
      </w:r>
      <w:r w:rsidR="00F96437">
        <w:t xml:space="preserve">Auckland Waitemata District Health Board (AWDHB) </w:t>
      </w:r>
      <w:r w:rsidR="001D12B1">
        <w:t>region.</w:t>
      </w:r>
    </w:p>
    <w:p w:rsidR="009D49F9" w:rsidRDefault="009D49F9" w:rsidP="009D49F9">
      <w:r>
        <w:t xml:space="preserve">The </w:t>
      </w:r>
      <w:r w:rsidR="00522A25">
        <w:t>incidence</w:t>
      </w:r>
      <w:r>
        <w:t xml:space="preserve"> estimates </w:t>
      </w:r>
      <w:r w:rsidR="001D12B1">
        <w:t xml:space="preserve">from capture-recapture </w:t>
      </w:r>
      <w:r>
        <w:t>were then combined with</w:t>
      </w:r>
      <w:r w:rsidR="00F57FDE">
        <w:t xml:space="preserve"> the denominator population sourced from</w:t>
      </w:r>
      <w:r>
        <w:t xml:space="preserve"> </w:t>
      </w:r>
      <w:r w:rsidR="00175D1C">
        <w:t>‘</w:t>
      </w:r>
      <w:r>
        <w:t>estimated resident</w:t>
      </w:r>
      <w:r w:rsidR="00175D1C">
        <w:t>’</w:t>
      </w:r>
      <w:r>
        <w:t xml:space="preserve"> 2013 </w:t>
      </w:r>
      <w:r w:rsidR="00522A25">
        <w:t xml:space="preserve">census </w:t>
      </w:r>
      <w:r>
        <w:t xml:space="preserve">counts of the population for the age range that corresponded to </w:t>
      </w:r>
      <w:r w:rsidR="00935414">
        <w:t>that</w:t>
      </w:r>
      <w:r>
        <w:t xml:space="preserve"> served by </w:t>
      </w:r>
      <w:r w:rsidR="00C616A4">
        <w:t>the</w:t>
      </w:r>
      <w:r w:rsidR="004D71F8">
        <w:t xml:space="preserve"> District Health Board</w:t>
      </w:r>
      <w:r w:rsidR="00704956">
        <w:t>’s</w:t>
      </w:r>
      <w:r>
        <w:t xml:space="preserve"> hospital. </w:t>
      </w:r>
    </w:p>
    <w:p w:rsidR="002B6F26" w:rsidRDefault="002B6F26" w:rsidP="002B6F26">
      <w:r>
        <w:t>Since the population who were being examined in all lists</w:t>
      </w:r>
      <w:r w:rsidR="00F832BE">
        <w:t xml:space="preserve"> were likely to</w:t>
      </w:r>
      <w:r>
        <w:t xml:space="preserve"> represent new cases of people crossing the threshold of blindness for the first time</w:t>
      </w:r>
      <w:r w:rsidR="00935414">
        <w:t>,</w:t>
      </w:r>
      <w:r>
        <w:t xml:space="preserve"> in the period </w:t>
      </w:r>
      <w:r w:rsidR="00704956">
        <w:t xml:space="preserve">between </w:t>
      </w:r>
      <w:r>
        <w:t>September 2011 and September 2014 (rather than established cases), the proportion estimated by capture-recapture to the total population is considered a ‘three-year cumulative incidence’ of blindness</w:t>
      </w:r>
      <w:r w:rsidR="00704956">
        <w:t>,</w:t>
      </w:r>
      <w:r>
        <w:t xml:space="preserve"> rather than a </w:t>
      </w:r>
      <w:r w:rsidRPr="00175D1C">
        <w:rPr>
          <w:i/>
        </w:rPr>
        <w:t>prevalence</w:t>
      </w:r>
      <w:r>
        <w:t>.</w:t>
      </w:r>
      <w:r w:rsidR="007E2F69">
        <w:t xml:space="preserve"> </w:t>
      </w:r>
      <w:r w:rsidR="001D12B1">
        <w:t>Divided by three</w:t>
      </w:r>
      <w:r>
        <w:t xml:space="preserve"> it provides an estimate of annual incidence.  Since blindness is a relatively rare disease, the capture-recapture annual incidence was multiplied by the me</w:t>
      </w:r>
      <w:r w:rsidR="00704956">
        <w:t>dian</w:t>
      </w:r>
      <w:r>
        <w:t xml:space="preserve"> survival of Blind Foundation members (from membership application to death</w:t>
      </w:r>
      <w:r w:rsidR="007E2F69">
        <w:t>,</w:t>
      </w:r>
      <w:r>
        <w:t xml:space="preserve"> </w:t>
      </w:r>
      <w:r w:rsidR="007E2F69">
        <w:t xml:space="preserve">calculated </w:t>
      </w:r>
      <w:r w:rsidR="00704956">
        <w:t>at</w:t>
      </w:r>
      <w:r w:rsidR="007E2F69">
        <w:t xml:space="preserve"> 10 years</w:t>
      </w:r>
      <w:r>
        <w:t xml:space="preserve">), to estimate the prevalence of blindness and low vision in the region (since </w:t>
      </w:r>
      <w:r w:rsidRPr="003E4692">
        <w:t>prevalence ≈ incidence * duration). Equivalently</w:t>
      </w:r>
      <w:r w:rsidR="007E2F69">
        <w:t>,</w:t>
      </w:r>
      <w:r w:rsidRPr="003E4692">
        <w:t xml:space="preserve"> prevalence is about 3.33 time</w:t>
      </w:r>
      <w:r>
        <w:t>s</w:t>
      </w:r>
      <w:r w:rsidRPr="003E4692">
        <w:t xml:space="preserve"> </w:t>
      </w:r>
      <w:r w:rsidR="007E2F69">
        <w:t>the three</w:t>
      </w:r>
      <w:r w:rsidRPr="003E4692">
        <w:t xml:space="preserve"> year cumulative incidence.</w:t>
      </w:r>
    </w:p>
    <w:p w:rsidR="007E2F69" w:rsidRDefault="007E2F69" w:rsidP="007E2F69">
      <w:r>
        <w:t>The analyses were carried out separately for young and old. In this case, the lists used in the capture-recapture methods included all individuals who met the</w:t>
      </w:r>
      <w:r w:rsidR="00EB3624">
        <w:t xml:space="preserve"> NZBF</w:t>
      </w:r>
      <w:r>
        <w:t xml:space="preserve"> minimum criteria for </w:t>
      </w:r>
      <w:r w:rsidR="00EB3624">
        <w:t xml:space="preserve">membership (BCVA </w:t>
      </w:r>
      <w:r w:rsidR="00EB3624" w:rsidRPr="00D47E8D">
        <w:t>≤ 6/</w:t>
      </w:r>
      <w:r w:rsidR="00EB3624">
        <w:t>24)</w:t>
      </w:r>
      <w:r>
        <w:t xml:space="preserve">. </w:t>
      </w:r>
      <w:r w:rsidR="00C616A4">
        <w:t xml:space="preserve">Since overlap between the two available lists were minimal in Dunedin </w:t>
      </w:r>
      <w:r w:rsidR="00460FD3">
        <w:t xml:space="preserve">(4) </w:t>
      </w:r>
      <w:r w:rsidR="00C616A4">
        <w:t>and Wellington</w:t>
      </w:r>
      <w:r w:rsidR="00460FD3">
        <w:t xml:space="preserve"> (7)</w:t>
      </w:r>
      <w:r w:rsidR="00C616A4">
        <w:t xml:space="preserve">, these analyses were abandoned, and the results are presented </w:t>
      </w:r>
      <w:r w:rsidR="003B14F0">
        <w:t>for those regions where overlap was sufficient to obtain a precise estimate</w:t>
      </w:r>
      <w:r w:rsidR="006161EA">
        <w:t xml:space="preserve"> -</w:t>
      </w:r>
      <w:r w:rsidR="00C616A4">
        <w:t xml:space="preserve"> Auckland and Waitemata DHB</w:t>
      </w:r>
      <w:r w:rsidR="005C050A">
        <w:t xml:space="preserve"> (A</w:t>
      </w:r>
      <w:r w:rsidR="00F96437">
        <w:t>W</w:t>
      </w:r>
      <w:r w:rsidR="005C050A">
        <w:t>DHB)</w:t>
      </w:r>
      <w:r w:rsidR="003B14F0">
        <w:t>,</w:t>
      </w:r>
      <w:r w:rsidR="00C616A4">
        <w:t xml:space="preserve"> Counties Manukau DHB</w:t>
      </w:r>
      <w:r w:rsidR="005C050A">
        <w:t xml:space="preserve"> (CMDHB)</w:t>
      </w:r>
      <w:r w:rsidR="00C616A4">
        <w:t xml:space="preserve"> and Canterbury</w:t>
      </w:r>
      <w:r w:rsidR="005C050A">
        <w:t xml:space="preserve"> </w:t>
      </w:r>
      <w:r w:rsidR="003B14F0">
        <w:t xml:space="preserve">DHB </w:t>
      </w:r>
      <w:r w:rsidR="005C050A">
        <w:t>(CDHB)</w:t>
      </w:r>
      <w:r w:rsidR="00C616A4">
        <w:t>.</w:t>
      </w:r>
    </w:p>
    <w:p w:rsidR="00E568F7" w:rsidRDefault="00E568F7" w:rsidP="008462D6">
      <w:pPr>
        <w:pStyle w:val="Heading3"/>
      </w:pPr>
      <w:r>
        <w:t>Ethical approval</w:t>
      </w:r>
    </w:p>
    <w:p w:rsidR="00E568F7" w:rsidRPr="00E568F7" w:rsidRDefault="00E568F7" w:rsidP="00E568F7">
      <w:r>
        <w:t>The study received approval from the national Health and Disability Ethics Committee (ref: 14/NTB/101)</w:t>
      </w:r>
      <w:r w:rsidR="00BB0330">
        <w:t xml:space="preserve"> and </w:t>
      </w:r>
      <w:r w:rsidR="004D71F8">
        <w:t xml:space="preserve">the </w:t>
      </w:r>
      <w:r w:rsidR="00935414">
        <w:t>research office</w:t>
      </w:r>
      <w:r w:rsidR="006469C5">
        <w:t>s of each Health Board participating in the study</w:t>
      </w:r>
      <w:r>
        <w:t>.</w:t>
      </w:r>
    </w:p>
    <w:p w:rsidR="00254CC0" w:rsidRDefault="00254CC0" w:rsidP="001959AE">
      <w:pPr>
        <w:pStyle w:val="Heading1"/>
      </w:pPr>
      <w:r>
        <w:t>Results</w:t>
      </w:r>
    </w:p>
    <w:p w:rsidR="0075552C" w:rsidRDefault="00FB5016" w:rsidP="0075552C">
      <w:r>
        <w:t xml:space="preserve">After cleaning and removing those with missing data values, a total of </w:t>
      </w:r>
      <w:r w:rsidR="00E23E17">
        <w:t>496</w:t>
      </w:r>
      <w:r>
        <w:t xml:space="preserve"> individuals were available for analysis, aged between 15 and 101 years at the time of their examination</w:t>
      </w:r>
      <w:r w:rsidR="005C4A66">
        <w:t xml:space="preserve"> in the A</w:t>
      </w:r>
      <w:r w:rsidR="00F96437">
        <w:t>W</w:t>
      </w:r>
      <w:r w:rsidR="005C4A66">
        <w:t>DHB region</w:t>
      </w:r>
      <w:r>
        <w:t xml:space="preserve">. The </w:t>
      </w:r>
      <w:r w:rsidR="00652C8C">
        <w:t>l</w:t>
      </w:r>
      <w:r w:rsidR="004B3D76">
        <w:t xml:space="preserve">argest list was </w:t>
      </w:r>
      <w:r w:rsidR="00652C8C">
        <w:t xml:space="preserve">from the </w:t>
      </w:r>
      <w:r w:rsidR="00EA7404">
        <w:t>NZBF</w:t>
      </w:r>
      <w:r w:rsidR="00652C8C">
        <w:t xml:space="preserve"> (</w:t>
      </w:r>
      <w:r w:rsidR="00652C8C" w:rsidRPr="00652C8C">
        <w:rPr>
          <w:i/>
        </w:rPr>
        <w:t>n</w:t>
      </w:r>
      <w:r w:rsidR="00652C8C">
        <w:t xml:space="preserve"> = </w:t>
      </w:r>
      <w:r w:rsidR="00E23E17">
        <w:t>353</w:t>
      </w:r>
      <w:r w:rsidR="00652C8C">
        <w:t xml:space="preserve">), with </w:t>
      </w:r>
      <w:r w:rsidR="00E23E17">
        <w:t>172</w:t>
      </w:r>
      <w:r w:rsidR="00652C8C">
        <w:t xml:space="preserve"> available from </w:t>
      </w:r>
      <w:r w:rsidR="007503A8">
        <w:t>the hospital ophthalmology clinic</w:t>
      </w:r>
      <w:r w:rsidR="00652C8C">
        <w:t xml:space="preserve">, and </w:t>
      </w:r>
      <w:r w:rsidR="00E23E17">
        <w:t>35</w:t>
      </w:r>
      <w:r w:rsidR="00652C8C">
        <w:t xml:space="preserve"> from </w:t>
      </w:r>
      <w:r w:rsidR="00704956">
        <w:t>o</w:t>
      </w:r>
      <w:r w:rsidR="00652C8C">
        <w:t>ptometry clinic</w:t>
      </w:r>
      <w:r w:rsidR="007503A8">
        <w:t xml:space="preserve"> records</w:t>
      </w:r>
      <w:r w:rsidR="00652C8C">
        <w:t>.</w:t>
      </w:r>
      <w:r w:rsidR="0030066A">
        <w:t xml:space="preserve"> The number of individuals in each list </w:t>
      </w:r>
      <w:r w:rsidR="00B10EC9">
        <w:t>(aged 15 years and over) with the degree of between list overlap</w:t>
      </w:r>
      <w:r w:rsidR="0030066A">
        <w:t xml:space="preserve"> is displayed in </w:t>
      </w:r>
      <w:r w:rsidR="007A35E5">
        <w:t xml:space="preserve">the scaled rectangle diagrams depicted in </w:t>
      </w:r>
      <w:r w:rsidR="0030066A" w:rsidRPr="0030066A">
        <w:rPr>
          <w:b/>
        </w:rPr>
        <w:t>Figure 1</w:t>
      </w:r>
      <w:r w:rsidR="0030066A">
        <w:t>.</w:t>
      </w:r>
      <w:r w:rsidR="007A35E5">
        <w:t xml:space="preserve"> </w:t>
      </w:r>
      <w:r w:rsidR="00B10EC9">
        <w:t xml:space="preserve">These figures are similar to Venn diagrams, but are represented with rectangles rather than circles. The areas of the rectangles and degree of overlap are proportional to the numbers present in each cell. </w:t>
      </w:r>
      <w:r w:rsidR="007A35E5">
        <w:t xml:space="preserve">In </w:t>
      </w:r>
      <w:r w:rsidR="00B10EC9">
        <w:t xml:space="preserve">figure </w:t>
      </w:r>
      <w:r w:rsidR="007A35E5">
        <w:t xml:space="preserve">1 (a), the number of people on each list is depicted by the rectangles with the largest rectangle representing the number of people who met the criteria for blindness on the </w:t>
      </w:r>
      <w:r w:rsidR="00EA7404">
        <w:t xml:space="preserve">NZBF </w:t>
      </w:r>
      <w:r w:rsidR="007A35E5">
        <w:t xml:space="preserve">list. The next largest rectangle represents those in the ophthalmology list and the smallest </w:t>
      </w:r>
      <w:r w:rsidR="001C2988">
        <w:t xml:space="preserve">rectangle </w:t>
      </w:r>
      <w:r w:rsidR="007A35E5">
        <w:t>represent</w:t>
      </w:r>
      <w:r w:rsidR="00030DF0">
        <w:t>s</w:t>
      </w:r>
      <w:r w:rsidR="007A35E5">
        <w:t xml:space="preserve"> the optometry list. In other regions</w:t>
      </w:r>
      <w:r w:rsidR="005C050A">
        <w:t>, CMDHB and CDHB</w:t>
      </w:r>
      <w:r w:rsidR="007A35E5">
        <w:t xml:space="preserve"> only two lists are represented, with the largest in each representing the </w:t>
      </w:r>
      <w:r w:rsidR="005C050A">
        <w:t>NZBF</w:t>
      </w:r>
      <w:r w:rsidR="007A35E5">
        <w:t xml:space="preserve">, and the other the ophthalmology list. </w:t>
      </w:r>
      <w:r w:rsidR="005C050A">
        <w:t xml:space="preserve">In </w:t>
      </w:r>
      <w:r w:rsidR="008E095F">
        <w:t xml:space="preserve">the </w:t>
      </w:r>
      <w:r w:rsidR="005C050A">
        <w:t>CMDHB</w:t>
      </w:r>
      <w:r w:rsidR="008E095F">
        <w:t xml:space="preserve"> region, there were 306 individuals available for analysis (186 from the NZBF list and 131 from the ophthalmology list). In the CDHB region</w:t>
      </w:r>
      <w:r w:rsidR="003C6439">
        <w:t>,</w:t>
      </w:r>
      <w:r w:rsidR="008E095F">
        <w:t xml:space="preserve"> 3</w:t>
      </w:r>
      <w:r w:rsidR="00981044">
        <w:t>91</w:t>
      </w:r>
      <w:r w:rsidR="008E095F">
        <w:t xml:space="preserve"> individuals </w:t>
      </w:r>
      <w:r w:rsidR="003C6439">
        <w:t xml:space="preserve">were </w:t>
      </w:r>
      <w:r w:rsidR="008E095F">
        <w:t>available for analysis (2</w:t>
      </w:r>
      <w:r w:rsidR="00981044">
        <w:t>90</w:t>
      </w:r>
      <w:r w:rsidR="008E095F">
        <w:t xml:space="preserve"> from the NZBF list and 1</w:t>
      </w:r>
      <w:r w:rsidR="00981044">
        <w:t>76</w:t>
      </w:r>
      <w:r w:rsidR="008E095F">
        <w:t xml:space="preserve"> from the ophthalmology list).</w:t>
      </w:r>
      <w:r w:rsidR="005C050A">
        <w:t xml:space="preserve"> </w:t>
      </w:r>
      <w:r w:rsidR="008E095F">
        <w:t>There was c</w:t>
      </w:r>
      <w:r w:rsidR="007A35E5">
        <w:t>onsiderable overlap between lists in the A</w:t>
      </w:r>
      <w:r w:rsidR="008E095F">
        <w:t>W</w:t>
      </w:r>
      <w:r w:rsidR="007A35E5">
        <w:t xml:space="preserve">DHB, </w:t>
      </w:r>
      <w:r w:rsidR="008E095F">
        <w:t>and CDHB</w:t>
      </w:r>
      <w:r w:rsidR="007A35E5">
        <w:t xml:space="preserve"> regions, with lesser overlap in the </w:t>
      </w:r>
      <w:r w:rsidR="008E095F">
        <w:t>CMDHB</w:t>
      </w:r>
      <w:r w:rsidR="007A35E5">
        <w:t xml:space="preserve"> region. </w:t>
      </w:r>
      <w:r w:rsidR="00E23E17">
        <w:t xml:space="preserve">Due to missing NHI records, 7% of subjects were excluded from the </w:t>
      </w:r>
      <w:r w:rsidR="00D97099">
        <w:t>NZBF</w:t>
      </w:r>
      <w:r w:rsidR="00E23E17">
        <w:t xml:space="preserve"> lists. </w:t>
      </w:r>
    </w:p>
    <w:p w:rsidR="00B10EC9" w:rsidRPr="00B10EC9" w:rsidRDefault="00B10EC9" w:rsidP="0075552C">
      <w:pPr>
        <w:rPr>
          <w:b/>
        </w:rPr>
      </w:pPr>
      <w:r w:rsidRPr="00B10EC9">
        <w:rPr>
          <w:b/>
        </w:rPr>
        <w:t>[Insert figure 1]</w:t>
      </w:r>
    </w:p>
    <w:p w:rsidR="00324EB9" w:rsidRDefault="007503A8">
      <w:r>
        <w:t>A sum</w:t>
      </w:r>
      <w:r w:rsidR="00427DCB">
        <w:t>mary of the findings by age cut-</w:t>
      </w:r>
      <w:r>
        <w:t xml:space="preserve">off and </w:t>
      </w:r>
      <w:r w:rsidR="00B10EC9">
        <w:t>region</w:t>
      </w:r>
      <w:r>
        <w:t xml:space="preserve"> is provided in </w:t>
      </w:r>
      <w:r w:rsidR="009614CE">
        <w:rPr>
          <w:b/>
        </w:rPr>
        <w:t>T</w:t>
      </w:r>
      <w:r w:rsidRPr="00427DCB">
        <w:rPr>
          <w:b/>
        </w:rPr>
        <w:t>able 1</w:t>
      </w:r>
      <w:r>
        <w:t xml:space="preserve">. The </w:t>
      </w:r>
      <w:r w:rsidR="009614CE">
        <w:t>prevalence</w:t>
      </w:r>
      <w:r>
        <w:t xml:space="preserve"> of blindness</w:t>
      </w:r>
      <w:r w:rsidR="009614CE">
        <w:t xml:space="preserve"> (BCVA </w:t>
      </w:r>
      <w:r w:rsidR="009614CE" w:rsidRPr="00D47E8D">
        <w:t>≤ 6/</w:t>
      </w:r>
      <w:r w:rsidR="009614CE">
        <w:t>24</w:t>
      </w:r>
      <w:r w:rsidR="001C03B4">
        <w:t>)</w:t>
      </w:r>
      <w:r w:rsidR="009614CE" w:rsidRPr="00D47E8D">
        <w:t xml:space="preserve"> </w:t>
      </w:r>
      <w:r w:rsidR="001C03B4">
        <w:t>for people aged 15 years or more</w:t>
      </w:r>
      <w:r>
        <w:t xml:space="preserve"> </w:t>
      </w:r>
      <w:r w:rsidR="00BD58F6">
        <w:t>w</w:t>
      </w:r>
      <w:r w:rsidR="00262DB9">
        <w:t>a</w:t>
      </w:r>
      <w:r>
        <w:t xml:space="preserve">s estimated </w:t>
      </w:r>
      <w:r w:rsidR="00BD58F6">
        <w:t xml:space="preserve">to be </w:t>
      </w:r>
      <w:r>
        <w:t>0.</w:t>
      </w:r>
      <w:r w:rsidR="00324EB9">
        <w:t>49</w:t>
      </w:r>
      <w:r>
        <w:t>%</w:t>
      </w:r>
      <w:r w:rsidR="003B14F0">
        <w:t xml:space="preserve"> (95% confidence interval 0.41 to 0.60)</w:t>
      </w:r>
      <w:r>
        <w:t xml:space="preserve"> </w:t>
      </w:r>
      <w:r w:rsidR="00324EB9">
        <w:rPr>
          <w:rFonts w:eastAsia="Times New Roman" w:cs="Times New Roman"/>
          <w:color w:val="000000"/>
          <w:lang w:eastAsia="en-NZ"/>
        </w:rPr>
        <w:t xml:space="preserve">in </w:t>
      </w:r>
      <w:r w:rsidR="00CE492C">
        <w:rPr>
          <w:rFonts w:eastAsia="Times New Roman" w:cs="Times New Roman"/>
          <w:color w:val="000000"/>
          <w:lang w:eastAsia="en-NZ"/>
        </w:rPr>
        <w:t>AWDHB</w:t>
      </w:r>
      <w:r w:rsidR="00324EB9">
        <w:rPr>
          <w:rFonts w:eastAsia="Times New Roman" w:cs="Times New Roman"/>
          <w:color w:val="000000"/>
          <w:lang w:eastAsia="en-NZ"/>
        </w:rPr>
        <w:t xml:space="preserve">. The figure for </w:t>
      </w:r>
      <w:r w:rsidR="00CE492C">
        <w:rPr>
          <w:rFonts w:eastAsia="Times New Roman" w:cs="Times New Roman"/>
          <w:color w:val="000000"/>
          <w:lang w:eastAsia="en-NZ"/>
        </w:rPr>
        <w:t xml:space="preserve">CDHB </w:t>
      </w:r>
      <w:r w:rsidR="00324EB9">
        <w:rPr>
          <w:rFonts w:eastAsia="Times New Roman" w:cs="Times New Roman"/>
          <w:color w:val="000000"/>
          <w:lang w:eastAsia="en-NZ"/>
        </w:rPr>
        <w:t xml:space="preserve">was similar to that for </w:t>
      </w:r>
      <w:r w:rsidR="00CE492C">
        <w:rPr>
          <w:rFonts w:eastAsia="Times New Roman" w:cs="Times New Roman"/>
          <w:color w:val="000000"/>
          <w:lang w:eastAsia="en-NZ"/>
        </w:rPr>
        <w:t>AWDHB</w:t>
      </w:r>
      <w:r w:rsidR="00324EB9">
        <w:rPr>
          <w:rFonts w:eastAsia="Times New Roman" w:cs="Times New Roman"/>
          <w:color w:val="000000"/>
          <w:lang w:eastAsia="en-NZ"/>
        </w:rPr>
        <w:t xml:space="preserve"> (0.</w:t>
      </w:r>
      <w:r w:rsidR="00030DF0">
        <w:rPr>
          <w:rFonts w:eastAsia="Times New Roman" w:cs="Times New Roman"/>
          <w:color w:val="000000"/>
          <w:lang w:eastAsia="en-NZ"/>
        </w:rPr>
        <w:t>52</w:t>
      </w:r>
      <w:r w:rsidR="00324EB9">
        <w:rPr>
          <w:rFonts w:eastAsia="Times New Roman" w:cs="Times New Roman"/>
          <w:color w:val="000000"/>
          <w:lang w:eastAsia="en-NZ"/>
        </w:rPr>
        <w:t>%; 95% confidence interval: 0.</w:t>
      </w:r>
      <w:r w:rsidR="00030DF0">
        <w:rPr>
          <w:rFonts w:eastAsia="Times New Roman" w:cs="Times New Roman"/>
          <w:color w:val="000000"/>
          <w:lang w:eastAsia="en-NZ"/>
        </w:rPr>
        <w:t>45</w:t>
      </w:r>
      <w:r w:rsidR="00324EB9">
        <w:rPr>
          <w:rFonts w:eastAsia="Times New Roman" w:cs="Times New Roman"/>
          <w:color w:val="000000"/>
          <w:lang w:eastAsia="en-NZ"/>
        </w:rPr>
        <w:t xml:space="preserve"> to 0.</w:t>
      </w:r>
      <w:r w:rsidR="00030DF0">
        <w:rPr>
          <w:rFonts w:eastAsia="Times New Roman" w:cs="Times New Roman"/>
          <w:color w:val="000000"/>
          <w:lang w:eastAsia="en-NZ"/>
        </w:rPr>
        <w:t>60</w:t>
      </w:r>
      <w:r w:rsidR="00324EB9">
        <w:rPr>
          <w:rFonts w:eastAsia="Times New Roman" w:cs="Times New Roman"/>
          <w:color w:val="000000"/>
          <w:lang w:eastAsia="en-NZ"/>
        </w:rPr>
        <w:t xml:space="preserve">). </w:t>
      </w:r>
      <w:r w:rsidR="00CE492C">
        <w:rPr>
          <w:rFonts w:eastAsia="Times New Roman" w:cs="Times New Roman"/>
          <w:color w:val="000000"/>
          <w:lang w:eastAsia="en-NZ"/>
        </w:rPr>
        <w:t>CMDHB</w:t>
      </w:r>
      <w:r w:rsidR="00B451DD">
        <w:rPr>
          <w:rFonts w:eastAsia="Times New Roman" w:cs="Times New Roman"/>
          <w:color w:val="000000"/>
          <w:lang w:eastAsia="en-NZ"/>
        </w:rPr>
        <w:t>,</w:t>
      </w:r>
      <w:r w:rsidR="00CE492C">
        <w:rPr>
          <w:rFonts w:eastAsia="Times New Roman" w:cs="Times New Roman"/>
          <w:color w:val="000000"/>
          <w:lang w:eastAsia="en-NZ"/>
        </w:rPr>
        <w:t xml:space="preserve"> however</w:t>
      </w:r>
      <w:r w:rsidR="00B451DD">
        <w:rPr>
          <w:rFonts w:eastAsia="Times New Roman" w:cs="Times New Roman"/>
          <w:color w:val="000000"/>
          <w:lang w:eastAsia="en-NZ"/>
        </w:rPr>
        <w:t>,</w:t>
      </w:r>
      <w:r w:rsidR="00324EB9">
        <w:rPr>
          <w:rFonts w:eastAsia="Times New Roman" w:cs="Times New Roman"/>
          <w:color w:val="000000"/>
          <w:lang w:eastAsia="en-NZ"/>
        </w:rPr>
        <w:t xml:space="preserve"> had a prevalence</w:t>
      </w:r>
      <w:r w:rsidR="00893CD0">
        <w:rPr>
          <w:rFonts w:eastAsia="Times New Roman" w:cs="Times New Roman"/>
          <w:color w:val="000000"/>
          <w:lang w:eastAsia="en-NZ"/>
        </w:rPr>
        <w:t xml:space="preserve"> four times higher</w:t>
      </w:r>
      <w:r w:rsidR="00324EB9">
        <w:rPr>
          <w:rFonts w:eastAsia="Times New Roman" w:cs="Times New Roman"/>
          <w:color w:val="000000"/>
          <w:lang w:eastAsia="en-NZ"/>
        </w:rPr>
        <w:t xml:space="preserve"> than these two</w:t>
      </w:r>
      <w:r w:rsidR="00B451DD">
        <w:rPr>
          <w:rFonts w:eastAsia="Times New Roman" w:cs="Times New Roman"/>
          <w:color w:val="000000"/>
          <w:lang w:eastAsia="en-NZ"/>
        </w:rPr>
        <w:t xml:space="preserve"> other</w:t>
      </w:r>
      <w:r w:rsidR="00324EB9">
        <w:rPr>
          <w:rFonts w:eastAsia="Times New Roman" w:cs="Times New Roman"/>
          <w:color w:val="000000"/>
          <w:lang w:eastAsia="en-NZ"/>
        </w:rPr>
        <w:t xml:space="preserve"> regions </w:t>
      </w:r>
      <w:r w:rsidR="001C03B4">
        <w:rPr>
          <w:rFonts w:eastAsia="Times New Roman" w:cs="Times New Roman"/>
          <w:color w:val="000000"/>
          <w:lang w:eastAsia="en-NZ"/>
        </w:rPr>
        <w:t>(</w:t>
      </w:r>
      <w:r w:rsidR="00324EB9">
        <w:rPr>
          <w:rFonts w:eastAsia="Times New Roman" w:cs="Times New Roman"/>
          <w:color w:val="000000"/>
          <w:lang w:eastAsia="en-NZ"/>
        </w:rPr>
        <w:t>1.96</w:t>
      </w:r>
      <w:r>
        <w:rPr>
          <w:rFonts w:eastAsia="Times New Roman" w:cs="Times New Roman"/>
          <w:color w:val="000000"/>
          <w:lang w:eastAsia="en-NZ"/>
        </w:rPr>
        <w:t>%</w:t>
      </w:r>
      <w:r w:rsidR="001C03B4">
        <w:rPr>
          <w:rFonts w:eastAsia="Times New Roman" w:cs="Times New Roman"/>
          <w:color w:val="000000"/>
          <w:lang w:eastAsia="en-NZ"/>
        </w:rPr>
        <w:t>;</w:t>
      </w:r>
      <w:r>
        <w:rPr>
          <w:rFonts w:eastAsia="Times New Roman" w:cs="Times New Roman"/>
          <w:color w:val="000000"/>
          <w:lang w:eastAsia="en-NZ"/>
        </w:rPr>
        <w:t xml:space="preserve"> </w:t>
      </w:r>
      <w:r w:rsidR="00324EB9">
        <w:rPr>
          <w:rFonts w:eastAsia="Times New Roman" w:cs="Times New Roman"/>
          <w:color w:val="000000"/>
          <w:lang w:eastAsia="en-NZ"/>
        </w:rPr>
        <w:t>95% confidence interval: 1.20 to 3.61</w:t>
      </w:r>
      <w:r w:rsidR="00893CD0">
        <w:rPr>
          <w:rFonts w:eastAsia="Times New Roman" w:cs="Times New Roman"/>
          <w:color w:val="000000"/>
          <w:lang w:eastAsia="en-NZ"/>
        </w:rPr>
        <w:t>)</w:t>
      </w:r>
      <w:r w:rsidR="00324EB9">
        <w:rPr>
          <w:rFonts w:eastAsia="Times New Roman" w:cs="Times New Roman"/>
          <w:color w:val="000000"/>
          <w:lang w:eastAsia="en-NZ"/>
        </w:rPr>
        <w:t xml:space="preserve">. </w:t>
      </w:r>
    </w:p>
    <w:p w:rsidR="00491DB5" w:rsidRDefault="003B14F0">
      <w:r>
        <w:t>An analysis of the population aged 40 or older showed</w:t>
      </w:r>
      <w:r w:rsidR="00530E69">
        <w:t xml:space="preserve"> the </w:t>
      </w:r>
      <w:r w:rsidR="00324EB9">
        <w:t>prevalence</w:t>
      </w:r>
      <w:r w:rsidR="00714FCB">
        <w:t xml:space="preserve"> of blindness</w:t>
      </w:r>
      <w:r w:rsidR="00324EB9">
        <w:t xml:space="preserve"> </w:t>
      </w:r>
      <w:r w:rsidR="00714FCB">
        <w:t xml:space="preserve">to be 0.86% </w:t>
      </w:r>
      <w:r w:rsidR="0095475C">
        <w:t>in AWDHB</w:t>
      </w:r>
      <w:r w:rsidR="00714FCB">
        <w:t>;</w:t>
      </w:r>
      <w:r w:rsidR="0095475C">
        <w:t xml:space="preserve"> </w:t>
      </w:r>
      <w:r w:rsidR="00714FCB">
        <w:t xml:space="preserve">3.35% </w:t>
      </w:r>
      <w:r w:rsidR="0095475C">
        <w:t xml:space="preserve">in CMDHB and </w:t>
      </w:r>
      <w:r w:rsidR="00714FCB">
        <w:t>0.</w:t>
      </w:r>
      <w:r w:rsidR="001C03B4">
        <w:t>84</w:t>
      </w:r>
      <w:r w:rsidR="00714FCB">
        <w:t xml:space="preserve">% </w:t>
      </w:r>
      <w:r w:rsidR="0095475C">
        <w:t xml:space="preserve">in CDHB </w:t>
      </w:r>
      <w:r w:rsidR="00324EB9">
        <w:t>. This</w:t>
      </w:r>
      <w:r w:rsidR="0050303A">
        <w:t xml:space="preserve"> analysis</w:t>
      </w:r>
      <w:r w:rsidR="00031192">
        <w:t xml:space="preserve"> highlight</w:t>
      </w:r>
      <w:r w:rsidR="00324EB9">
        <w:t>s</w:t>
      </w:r>
      <w:r w:rsidR="00031192">
        <w:t xml:space="preserve"> the age-</w:t>
      </w:r>
      <w:r w:rsidR="00530E69">
        <w:t>dependent nature of visual impairment</w:t>
      </w:r>
      <w:r w:rsidR="00324EB9">
        <w:t xml:space="preserve"> (</w:t>
      </w:r>
      <w:r w:rsidR="0025219C">
        <w:rPr>
          <w:b/>
        </w:rPr>
        <w:t>T</w:t>
      </w:r>
      <w:r w:rsidR="00324EB9" w:rsidRPr="00324EB9">
        <w:rPr>
          <w:b/>
        </w:rPr>
        <w:t>able 1</w:t>
      </w:r>
      <w:r w:rsidR="00324EB9">
        <w:t>)</w:t>
      </w:r>
      <w:r w:rsidR="00530E69">
        <w:t xml:space="preserve">. </w:t>
      </w:r>
    </w:p>
    <w:p w:rsidR="00581DDC" w:rsidRDefault="00581DDC">
      <w:pPr>
        <w:spacing w:line="276" w:lineRule="auto"/>
      </w:pPr>
      <w:r>
        <w:br w:type="page"/>
      </w:r>
    </w:p>
    <w:p w:rsidR="00581DDC" w:rsidRPr="007503A8" w:rsidRDefault="00581DDC"/>
    <w:p w:rsidR="00A02175" w:rsidRDefault="00A02175" w:rsidP="00D41056">
      <w:pPr>
        <w:rPr>
          <w:b/>
        </w:rPr>
      </w:pPr>
      <w:r w:rsidRPr="00A02175">
        <w:rPr>
          <w:b/>
        </w:rPr>
        <w:t xml:space="preserve">[Insert </w:t>
      </w:r>
      <w:r w:rsidR="0025219C">
        <w:rPr>
          <w:b/>
        </w:rPr>
        <w:t>T</w:t>
      </w:r>
      <w:r w:rsidRPr="00A02175">
        <w:rPr>
          <w:b/>
        </w:rPr>
        <w:t>able 1 here]</w:t>
      </w:r>
    </w:p>
    <w:p w:rsidR="00581DDC" w:rsidRPr="00F27C57" w:rsidRDefault="00581DDC" w:rsidP="00581DDC">
      <w:pPr>
        <w:keepNext/>
        <w:keepLines/>
        <w:widowControl w:val="0"/>
        <w:rPr>
          <w:b/>
        </w:rPr>
      </w:pPr>
      <w:r w:rsidRPr="00F27C57">
        <w:rPr>
          <w:b/>
        </w:rPr>
        <w:t xml:space="preserve">Table 1. </w:t>
      </w:r>
      <w:r>
        <w:rPr>
          <w:b/>
        </w:rPr>
        <w:t>Summary table of c</w:t>
      </w:r>
      <w:r w:rsidRPr="00F27C57">
        <w:rPr>
          <w:b/>
        </w:rPr>
        <w:t xml:space="preserve">apture-recapture model </w:t>
      </w:r>
      <w:r>
        <w:rPr>
          <w:b/>
        </w:rPr>
        <w:t>prevalence and estimated incident cases</w:t>
      </w:r>
      <w:r w:rsidRPr="00F27C57">
        <w:rPr>
          <w:b/>
        </w:rPr>
        <w:t xml:space="preserve"> of </w:t>
      </w:r>
      <w:r>
        <w:rPr>
          <w:b/>
        </w:rPr>
        <w:t>blindness (BCVA ≥ 6/24)</w:t>
      </w:r>
      <w:r w:rsidRPr="00F27C57">
        <w:rPr>
          <w:b/>
        </w:rPr>
        <w:t xml:space="preserve"> </w:t>
      </w:r>
      <w:r>
        <w:rPr>
          <w:b/>
        </w:rPr>
        <w:t>by</w:t>
      </w:r>
      <w:r w:rsidRPr="00F27C57">
        <w:rPr>
          <w:b/>
        </w:rPr>
        <w:t xml:space="preserve"> region</w:t>
      </w:r>
      <w:r>
        <w:rPr>
          <w:b/>
        </w:rPr>
        <w:t>, and age category</w:t>
      </w:r>
      <w:r w:rsidRPr="00F27C57">
        <w:rPr>
          <w:b/>
        </w:rPr>
        <w:t>.</w:t>
      </w:r>
    </w:p>
    <w:tbl>
      <w:tblPr>
        <w:tblStyle w:val="ListTable6Colorful3"/>
        <w:tblW w:w="9040" w:type="dxa"/>
        <w:tblLook w:val="04A0" w:firstRow="1" w:lastRow="0" w:firstColumn="1" w:lastColumn="0" w:noHBand="0" w:noVBand="1"/>
      </w:tblPr>
      <w:tblGrid>
        <w:gridCol w:w="2380"/>
        <w:gridCol w:w="2264"/>
        <w:gridCol w:w="1996"/>
        <w:gridCol w:w="2400"/>
      </w:tblGrid>
      <w:tr w:rsidR="00581DDC" w:rsidRPr="00542C37" w:rsidTr="00D665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color w:val="000000"/>
                <w:lang w:eastAsia="en-NZ"/>
              </w:rPr>
            </w:pPr>
          </w:p>
        </w:tc>
        <w:tc>
          <w:tcPr>
            <w:tcW w:w="2264" w:type="dxa"/>
            <w:shd w:val="clear" w:color="auto" w:fill="auto"/>
            <w:noWrap/>
            <w:hideMark/>
          </w:tcPr>
          <w:p w:rsidR="00581DDC" w:rsidRPr="00542C37" w:rsidRDefault="00581DDC" w:rsidP="00D665B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Prevalence (95% CI)</w:t>
            </w:r>
          </w:p>
        </w:tc>
        <w:tc>
          <w:tcPr>
            <w:tcW w:w="1996" w:type="dxa"/>
            <w:shd w:val="clear" w:color="auto" w:fill="auto"/>
            <w:noWrap/>
            <w:hideMark/>
          </w:tcPr>
          <w:p w:rsidR="00581DDC" w:rsidRPr="00542C37" w:rsidRDefault="00581DDC" w:rsidP="00D665B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Population</w:t>
            </w:r>
          </w:p>
        </w:tc>
        <w:tc>
          <w:tcPr>
            <w:tcW w:w="2400" w:type="dxa"/>
            <w:shd w:val="clear" w:color="auto" w:fill="auto"/>
            <w:noWrap/>
            <w:hideMark/>
          </w:tcPr>
          <w:p w:rsidR="00581DDC" w:rsidRPr="00542C37" w:rsidRDefault="00581DDC" w:rsidP="00D665B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Incident cases (95% CI)</w:t>
            </w:r>
          </w:p>
        </w:tc>
      </w:tr>
      <w:tr w:rsidR="00581DDC" w:rsidRPr="00542C37"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tcPr>
          <w:p w:rsidR="00581DDC" w:rsidRPr="00542C37" w:rsidRDefault="00581DDC" w:rsidP="00D665B6">
            <w:pPr>
              <w:rPr>
                <w:rFonts w:eastAsia="Times New Roman" w:cs="Calibri"/>
                <w:color w:val="000000"/>
                <w:lang w:eastAsia="en-NZ"/>
              </w:rPr>
            </w:pPr>
            <w:r w:rsidRPr="00542C37">
              <w:rPr>
                <w:rFonts w:eastAsia="Times New Roman" w:cs="Calibri"/>
                <w:color w:val="000000"/>
                <w:lang w:eastAsia="en-NZ"/>
              </w:rPr>
              <w:t>Age ≥ 15 years</w:t>
            </w:r>
          </w:p>
        </w:tc>
        <w:tc>
          <w:tcPr>
            <w:tcW w:w="2264" w:type="dxa"/>
            <w:shd w:val="clear" w:color="auto" w:fill="auto"/>
            <w:noWrap/>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c>
          <w:tcPr>
            <w:tcW w:w="1996" w:type="dxa"/>
            <w:shd w:val="clear" w:color="auto" w:fill="auto"/>
            <w:noWrap/>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c>
          <w:tcPr>
            <w:tcW w:w="2400" w:type="dxa"/>
            <w:shd w:val="clear" w:color="auto" w:fill="auto"/>
            <w:noWrap/>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r>
      <w:tr w:rsidR="00581DDC" w:rsidRPr="00542C37" w:rsidTr="00D665B6">
        <w:trPr>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b w:val="0"/>
                <w:color w:val="000000"/>
                <w:lang w:eastAsia="en-NZ"/>
              </w:rPr>
            </w:pPr>
            <w:r w:rsidRPr="00542C37">
              <w:rPr>
                <w:rFonts w:eastAsia="Times New Roman" w:cs="Calibri"/>
                <w:b w:val="0"/>
                <w:color w:val="000000"/>
                <w:lang w:eastAsia="en-NZ"/>
              </w:rPr>
              <w:t>ADHB &amp; Waitemata</w:t>
            </w:r>
          </w:p>
        </w:tc>
        <w:tc>
          <w:tcPr>
            <w:tcW w:w="2264"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0.49 (0.41 to 0.60)</w:t>
            </w:r>
          </w:p>
        </w:tc>
        <w:tc>
          <w:tcPr>
            <w:tcW w:w="1996"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817,030</w:t>
            </w:r>
          </w:p>
        </w:tc>
        <w:tc>
          <w:tcPr>
            <w:tcW w:w="2400"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1,204 (1,009 to 1,477)</w:t>
            </w:r>
          </w:p>
        </w:tc>
      </w:tr>
      <w:tr w:rsidR="00581DDC" w:rsidRPr="00542C37"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b w:val="0"/>
                <w:color w:val="000000"/>
                <w:lang w:eastAsia="en-NZ"/>
              </w:rPr>
            </w:pPr>
            <w:r>
              <w:rPr>
                <w:rFonts w:eastAsia="Times New Roman" w:cs="Calibri"/>
                <w:b w:val="0"/>
                <w:color w:val="000000"/>
                <w:lang w:eastAsia="en-NZ"/>
              </w:rPr>
              <w:t>Counties Manukau</w:t>
            </w:r>
          </w:p>
        </w:tc>
        <w:tc>
          <w:tcPr>
            <w:tcW w:w="2264"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1.96 (1.20 to 3.61)</w:t>
            </w:r>
          </w:p>
        </w:tc>
        <w:tc>
          <w:tcPr>
            <w:tcW w:w="1996"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377,100</w:t>
            </w:r>
          </w:p>
        </w:tc>
        <w:tc>
          <w:tcPr>
            <w:tcW w:w="2400"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2,215 (1,361 to 4,093)</w:t>
            </w:r>
          </w:p>
        </w:tc>
      </w:tr>
      <w:tr w:rsidR="00581DDC" w:rsidRPr="00542C37" w:rsidTr="00D665B6">
        <w:trPr>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b w:val="0"/>
                <w:color w:val="000000"/>
                <w:lang w:eastAsia="en-NZ"/>
              </w:rPr>
            </w:pPr>
            <w:r w:rsidRPr="00542C37">
              <w:rPr>
                <w:rFonts w:eastAsia="Times New Roman" w:cs="Calibri"/>
                <w:b w:val="0"/>
                <w:color w:val="000000"/>
                <w:lang w:eastAsia="en-NZ"/>
              </w:rPr>
              <w:t>Christchurch</w:t>
            </w:r>
          </w:p>
        </w:tc>
        <w:tc>
          <w:tcPr>
            <w:tcW w:w="2264"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0.46 (0.39 to 0.56)</w:t>
            </w:r>
          </w:p>
        </w:tc>
        <w:tc>
          <w:tcPr>
            <w:tcW w:w="1996"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438,741</w:t>
            </w:r>
          </w:p>
        </w:tc>
        <w:tc>
          <w:tcPr>
            <w:tcW w:w="2400"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606 (512 to 737)</w:t>
            </w:r>
          </w:p>
        </w:tc>
      </w:tr>
      <w:tr w:rsidR="00581DDC" w:rsidRPr="00542C37"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color w:val="000000"/>
                <w:lang w:eastAsia="en-NZ"/>
              </w:rPr>
            </w:pPr>
          </w:p>
        </w:tc>
        <w:tc>
          <w:tcPr>
            <w:tcW w:w="2264" w:type="dxa"/>
            <w:shd w:val="clear" w:color="auto" w:fill="auto"/>
            <w:noWrap/>
          </w:tcPr>
          <w:p w:rsidR="00581DDC" w:rsidRPr="00542C37" w:rsidRDefault="00581DDC" w:rsidP="00D665B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c>
          <w:tcPr>
            <w:tcW w:w="1996" w:type="dxa"/>
            <w:shd w:val="clear" w:color="auto" w:fill="auto"/>
            <w:noWrap/>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NZ"/>
              </w:rPr>
            </w:pPr>
          </w:p>
        </w:tc>
        <w:tc>
          <w:tcPr>
            <w:tcW w:w="2400" w:type="dxa"/>
            <w:shd w:val="clear" w:color="auto" w:fill="auto"/>
            <w:noWrap/>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NZ"/>
              </w:rPr>
            </w:pPr>
          </w:p>
        </w:tc>
      </w:tr>
      <w:tr w:rsidR="00581DDC" w:rsidRPr="00542C37" w:rsidTr="00D665B6">
        <w:trPr>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color w:val="000000"/>
                <w:lang w:eastAsia="en-NZ"/>
              </w:rPr>
            </w:pPr>
            <w:r w:rsidRPr="00542C37">
              <w:rPr>
                <w:rFonts w:eastAsia="Times New Roman" w:cs="Calibri"/>
                <w:color w:val="000000"/>
                <w:lang w:eastAsia="en-NZ"/>
              </w:rPr>
              <w:t>Age ≥ 40 years</w:t>
            </w:r>
          </w:p>
        </w:tc>
        <w:tc>
          <w:tcPr>
            <w:tcW w:w="2264" w:type="dxa"/>
            <w:shd w:val="clear" w:color="auto" w:fill="auto"/>
            <w:noWrap/>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n-NZ"/>
              </w:rPr>
            </w:pPr>
          </w:p>
        </w:tc>
        <w:tc>
          <w:tcPr>
            <w:tcW w:w="1996" w:type="dxa"/>
            <w:shd w:val="clear" w:color="auto" w:fill="auto"/>
            <w:noWrap/>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n-NZ"/>
              </w:rPr>
            </w:pPr>
          </w:p>
        </w:tc>
        <w:tc>
          <w:tcPr>
            <w:tcW w:w="2400" w:type="dxa"/>
            <w:shd w:val="clear" w:color="auto" w:fill="auto"/>
            <w:noWrap/>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n-NZ"/>
              </w:rPr>
            </w:pPr>
          </w:p>
        </w:tc>
      </w:tr>
      <w:tr w:rsidR="00581DDC" w:rsidRPr="00542C37"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b w:val="0"/>
                <w:color w:val="000000"/>
                <w:lang w:eastAsia="en-NZ"/>
              </w:rPr>
            </w:pPr>
            <w:r w:rsidRPr="00542C37">
              <w:rPr>
                <w:rFonts w:eastAsia="Times New Roman" w:cs="Calibri"/>
                <w:b w:val="0"/>
                <w:color w:val="000000"/>
                <w:lang w:eastAsia="en-NZ"/>
              </w:rPr>
              <w:t>ADHB &amp; Waitemata</w:t>
            </w:r>
          </w:p>
        </w:tc>
        <w:tc>
          <w:tcPr>
            <w:tcW w:w="2264"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0.86 (0.72 to 1.06)</w:t>
            </w:r>
          </w:p>
        </w:tc>
        <w:tc>
          <w:tcPr>
            <w:tcW w:w="1996"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445,040</w:t>
            </w:r>
          </w:p>
        </w:tc>
        <w:tc>
          <w:tcPr>
            <w:tcW w:w="2400"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1,153 (964 to 1,418)</w:t>
            </w:r>
          </w:p>
        </w:tc>
      </w:tr>
      <w:tr w:rsidR="00581DDC" w:rsidRPr="00542C37" w:rsidTr="00D665B6">
        <w:trPr>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b w:val="0"/>
                <w:color w:val="000000"/>
                <w:lang w:eastAsia="en-NZ"/>
              </w:rPr>
            </w:pPr>
            <w:r>
              <w:rPr>
                <w:rFonts w:eastAsia="Times New Roman" w:cs="Calibri"/>
                <w:b w:val="0"/>
                <w:color w:val="000000"/>
                <w:lang w:eastAsia="en-NZ"/>
              </w:rPr>
              <w:t>Counties Manukau</w:t>
            </w:r>
          </w:p>
        </w:tc>
        <w:tc>
          <w:tcPr>
            <w:tcW w:w="2264"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3.35 (2.02 to 6.40)</w:t>
            </w:r>
          </w:p>
        </w:tc>
        <w:tc>
          <w:tcPr>
            <w:tcW w:w="1996"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205,140</w:t>
            </w:r>
          </w:p>
        </w:tc>
        <w:tc>
          <w:tcPr>
            <w:tcW w:w="2400" w:type="dxa"/>
            <w:shd w:val="clear" w:color="auto" w:fill="auto"/>
            <w:noWrap/>
            <w:hideMark/>
          </w:tcPr>
          <w:p w:rsidR="00581DDC" w:rsidRPr="00542C37"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2,062 (1,247 to 3,945)</w:t>
            </w:r>
          </w:p>
        </w:tc>
      </w:tr>
      <w:tr w:rsidR="00581DDC" w:rsidRPr="00542C37"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shd w:val="clear" w:color="auto" w:fill="auto"/>
            <w:noWrap/>
            <w:hideMark/>
          </w:tcPr>
          <w:p w:rsidR="00581DDC" w:rsidRPr="00542C37" w:rsidRDefault="00581DDC" w:rsidP="00D665B6">
            <w:pPr>
              <w:rPr>
                <w:rFonts w:eastAsia="Times New Roman" w:cs="Calibri"/>
                <w:b w:val="0"/>
                <w:color w:val="000000"/>
                <w:lang w:eastAsia="en-NZ"/>
              </w:rPr>
            </w:pPr>
            <w:r w:rsidRPr="00542C37">
              <w:rPr>
                <w:rFonts w:eastAsia="Times New Roman" w:cs="Calibri"/>
                <w:b w:val="0"/>
                <w:color w:val="000000"/>
                <w:lang w:eastAsia="en-NZ"/>
              </w:rPr>
              <w:t>Christchurch</w:t>
            </w:r>
          </w:p>
        </w:tc>
        <w:tc>
          <w:tcPr>
            <w:tcW w:w="2264"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0.77 (0.29 to 2.39)</w:t>
            </w:r>
          </w:p>
        </w:tc>
        <w:tc>
          <w:tcPr>
            <w:tcW w:w="1996"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244,830</w:t>
            </w:r>
          </w:p>
        </w:tc>
        <w:tc>
          <w:tcPr>
            <w:tcW w:w="2400" w:type="dxa"/>
            <w:shd w:val="clear" w:color="auto" w:fill="auto"/>
            <w:noWrap/>
            <w:hideMark/>
          </w:tcPr>
          <w:p w:rsidR="00581DDC" w:rsidRPr="00542C37"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542C37">
              <w:rPr>
                <w:rFonts w:eastAsia="Times New Roman" w:cs="Calibri"/>
                <w:color w:val="000000"/>
                <w:lang w:eastAsia="en-NZ"/>
              </w:rPr>
              <w:t>563 (216 to 1,755)</w:t>
            </w:r>
          </w:p>
        </w:tc>
      </w:tr>
    </w:tbl>
    <w:p w:rsidR="00581DDC" w:rsidRDefault="00581DDC" w:rsidP="00581DDC">
      <w:r>
        <w:t>CI: confidence  interval. ADHB: Auckland District Health Board.</w:t>
      </w:r>
    </w:p>
    <w:p w:rsidR="00581DDC" w:rsidRDefault="00581DDC" w:rsidP="00581DDC"/>
    <w:p w:rsidR="00581DDC" w:rsidRDefault="00581DDC" w:rsidP="00581DDC">
      <w:pPr>
        <w:keepNext/>
        <w:keepLines/>
        <w:widowControl w:val="0"/>
        <w:rPr>
          <w:b/>
        </w:rPr>
      </w:pPr>
      <w:r w:rsidRPr="00FE7C16">
        <w:rPr>
          <w:b/>
        </w:rPr>
        <w:t>Table S1</w:t>
      </w:r>
      <w:r>
        <w:rPr>
          <w:b/>
        </w:rPr>
        <w:t>. Summary table of c</w:t>
      </w:r>
      <w:r w:rsidRPr="00F27C57">
        <w:rPr>
          <w:b/>
        </w:rPr>
        <w:t xml:space="preserve">apture-recapture model </w:t>
      </w:r>
      <w:r>
        <w:rPr>
          <w:b/>
        </w:rPr>
        <w:t>prevalence and estimated incident cases</w:t>
      </w:r>
      <w:r w:rsidRPr="00F27C57">
        <w:rPr>
          <w:b/>
        </w:rPr>
        <w:t xml:space="preserve"> of </w:t>
      </w:r>
      <w:r>
        <w:rPr>
          <w:b/>
        </w:rPr>
        <w:t>blindness (BCVA ≥ 6/60)</w:t>
      </w:r>
      <w:r w:rsidRPr="00F27C57">
        <w:rPr>
          <w:b/>
        </w:rPr>
        <w:t xml:space="preserve"> </w:t>
      </w:r>
      <w:r>
        <w:rPr>
          <w:b/>
        </w:rPr>
        <w:t>by</w:t>
      </w:r>
      <w:r w:rsidRPr="00F27C57">
        <w:rPr>
          <w:b/>
        </w:rPr>
        <w:t xml:space="preserve"> region</w:t>
      </w:r>
      <w:r>
        <w:rPr>
          <w:b/>
        </w:rPr>
        <w:t>, and age category</w:t>
      </w:r>
      <w:r w:rsidRPr="00F27C57">
        <w:rPr>
          <w:b/>
        </w:rPr>
        <w:t>.</w:t>
      </w:r>
    </w:p>
    <w:tbl>
      <w:tblPr>
        <w:tblStyle w:val="LightShading"/>
        <w:tblW w:w="8534" w:type="dxa"/>
        <w:tblLook w:val="04A0" w:firstRow="1" w:lastRow="0" w:firstColumn="1" w:lastColumn="0" w:noHBand="0" w:noVBand="1"/>
      </w:tblPr>
      <w:tblGrid>
        <w:gridCol w:w="2500"/>
        <w:gridCol w:w="2286"/>
        <w:gridCol w:w="1468"/>
        <w:gridCol w:w="2472"/>
      </w:tblGrid>
      <w:tr w:rsidR="00581DDC" w:rsidRPr="00E6427B" w:rsidTr="00D665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E6427B" w:rsidRDefault="00581DDC" w:rsidP="00D665B6">
            <w:pPr>
              <w:rPr>
                <w:lang w:eastAsia="en-NZ"/>
              </w:rPr>
            </w:pPr>
          </w:p>
        </w:tc>
        <w:tc>
          <w:tcPr>
            <w:tcW w:w="2286" w:type="dxa"/>
            <w:shd w:val="clear" w:color="auto" w:fill="FFFFFF" w:themeFill="background1"/>
            <w:noWrap/>
            <w:hideMark/>
          </w:tcPr>
          <w:p w:rsidR="00581DDC" w:rsidRPr="00E6427B" w:rsidRDefault="00581DDC" w:rsidP="00D665B6">
            <w:pPr>
              <w:jc w:val="center"/>
              <w:cnfStyle w:val="100000000000" w:firstRow="1" w:lastRow="0" w:firstColumn="0" w:lastColumn="0" w:oddVBand="0" w:evenVBand="0" w:oddHBand="0" w:evenHBand="0" w:firstRowFirstColumn="0" w:firstRowLastColumn="0" w:lastRowFirstColumn="0" w:lastRowLastColumn="0"/>
              <w:rPr>
                <w:lang w:eastAsia="en-NZ"/>
              </w:rPr>
            </w:pPr>
            <w:r w:rsidRPr="00E6427B">
              <w:rPr>
                <w:lang w:eastAsia="en-NZ"/>
              </w:rPr>
              <w:t>Prevalence (95% CI)</w:t>
            </w:r>
          </w:p>
        </w:tc>
        <w:tc>
          <w:tcPr>
            <w:tcW w:w="1276" w:type="dxa"/>
            <w:shd w:val="clear" w:color="auto" w:fill="FFFFFF" w:themeFill="background1"/>
            <w:noWrap/>
            <w:hideMark/>
          </w:tcPr>
          <w:p w:rsidR="00581DDC" w:rsidRPr="00E6427B" w:rsidRDefault="00581DDC" w:rsidP="00D665B6">
            <w:pPr>
              <w:jc w:val="center"/>
              <w:cnfStyle w:val="100000000000" w:firstRow="1" w:lastRow="0" w:firstColumn="0" w:lastColumn="0" w:oddVBand="0" w:evenVBand="0" w:oddHBand="0" w:evenHBand="0" w:firstRowFirstColumn="0" w:firstRowLastColumn="0" w:lastRowFirstColumn="0" w:lastRowLastColumn="0"/>
              <w:rPr>
                <w:lang w:eastAsia="en-NZ"/>
              </w:rPr>
            </w:pPr>
            <w:r w:rsidRPr="00E6427B">
              <w:rPr>
                <w:lang w:eastAsia="en-NZ"/>
              </w:rPr>
              <w:t>Population</w:t>
            </w:r>
          </w:p>
        </w:tc>
        <w:tc>
          <w:tcPr>
            <w:tcW w:w="2472" w:type="dxa"/>
            <w:shd w:val="clear" w:color="auto" w:fill="FFFFFF" w:themeFill="background1"/>
            <w:noWrap/>
            <w:hideMark/>
          </w:tcPr>
          <w:p w:rsidR="00581DDC" w:rsidRPr="00E6427B" w:rsidRDefault="00581DDC" w:rsidP="00D665B6">
            <w:pPr>
              <w:jc w:val="center"/>
              <w:cnfStyle w:val="100000000000" w:firstRow="1" w:lastRow="0" w:firstColumn="0" w:lastColumn="0" w:oddVBand="0" w:evenVBand="0" w:oddHBand="0" w:evenHBand="0" w:firstRowFirstColumn="0" w:firstRowLastColumn="0" w:lastRowFirstColumn="0" w:lastRowLastColumn="0"/>
              <w:rPr>
                <w:lang w:eastAsia="en-NZ"/>
              </w:rPr>
            </w:pPr>
            <w:r w:rsidRPr="00E6427B">
              <w:rPr>
                <w:lang w:eastAsia="en-NZ"/>
              </w:rPr>
              <w:t>Incident cases (95% CI)</w:t>
            </w:r>
          </w:p>
        </w:tc>
      </w:tr>
      <w:tr w:rsidR="00581DDC" w:rsidRPr="00E6427B"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tcPr>
          <w:p w:rsidR="00581DDC" w:rsidRPr="00F868EA" w:rsidRDefault="00581DDC" w:rsidP="00D665B6">
            <w:pPr>
              <w:rPr>
                <w:rFonts w:eastAsia="Times New Roman" w:cs="Calibri"/>
                <w:color w:val="000000"/>
                <w:lang w:eastAsia="en-NZ"/>
              </w:rPr>
            </w:pPr>
            <w:r w:rsidRPr="00542C37">
              <w:rPr>
                <w:rFonts w:eastAsia="Times New Roman" w:cs="Calibri"/>
                <w:color w:val="000000"/>
                <w:lang w:eastAsia="en-NZ"/>
              </w:rPr>
              <w:t>Age ≥ 15 years</w:t>
            </w:r>
          </w:p>
        </w:tc>
        <w:tc>
          <w:tcPr>
            <w:tcW w:w="2286" w:type="dxa"/>
            <w:shd w:val="clear" w:color="auto" w:fill="FFFFFF" w:themeFill="background1"/>
            <w:noWrap/>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c>
          <w:tcPr>
            <w:tcW w:w="1276" w:type="dxa"/>
            <w:shd w:val="clear" w:color="auto" w:fill="FFFFFF" w:themeFill="background1"/>
            <w:noWrap/>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c>
          <w:tcPr>
            <w:tcW w:w="2472" w:type="dxa"/>
            <w:shd w:val="clear" w:color="auto" w:fill="FFFFFF" w:themeFill="background1"/>
            <w:noWrap/>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r>
      <w:tr w:rsidR="00581DDC" w:rsidRPr="00E6427B" w:rsidTr="00D665B6">
        <w:trPr>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F868EA" w:rsidRDefault="00581DDC" w:rsidP="00D665B6">
            <w:pPr>
              <w:rPr>
                <w:rFonts w:eastAsia="Times New Roman" w:cs="Calibri"/>
                <w:b w:val="0"/>
                <w:color w:val="000000"/>
                <w:lang w:eastAsia="en-NZ"/>
              </w:rPr>
            </w:pPr>
            <w:r w:rsidRPr="00F868EA">
              <w:rPr>
                <w:rFonts w:eastAsia="Times New Roman" w:cs="Calibri"/>
                <w:b w:val="0"/>
                <w:color w:val="000000"/>
                <w:lang w:eastAsia="en-NZ"/>
              </w:rPr>
              <w:t>ADHB &amp; Waitemata</w:t>
            </w:r>
          </w:p>
        </w:tc>
        <w:tc>
          <w:tcPr>
            <w:tcW w:w="228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0.20 (0.17 to 0.27)</w:t>
            </w:r>
          </w:p>
        </w:tc>
        <w:tc>
          <w:tcPr>
            <w:tcW w:w="127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817,030</w:t>
            </w:r>
          </w:p>
        </w:tc>
        <w:tc>
          <w:tcPr>
            <w:tcW w:w="2472"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1,634 (1,389 to 2,206)</w:t>
            </w:r>
          </w:p>
        </w:tc>
      </w:tr>
      <w:tr w:rsidR="00581DDC" w:rsidRPr="00E6427B"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F868EA" w:rsidRDefault="00581DDC" w:rsidP="00D665B6">
            <w:pPr>
              <w:rPr>
                <w:rFonts w:eastAsia="Times New Roman" w:cs="Calibri"/>
                <w:b w:val="0"/>
                <w:color w:val="000000"/>
                <w:lang w:eastAsia="en-NZ"/>
              </w:rPr>
            </w:pPr>
            <w:r>
              <w:rPr>
                <w:rFonts w:eastAsia="Times New Roman" w:cs="Calibri"/>
                <w:b w:val="0"/>
                <w:color w:val="000000"/>
                <w:lang w:eastAsia="en-NZ"/>
              </w:rPr>
              <w:t>Counties Manukau</w:t>
            </w:r>
          </w:p>
        </w:tc>
        <w:tc>
          <w:tcPr>
            <w:tcW w:w="2286"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1.02 (0.57 to 2.25)</w:t>
            </w:r>
          </w:p>
        </w:tc>
        <w:tc>
          <w:tcPr>
            <w:tcW w:w="1276"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377,100</w:t>
            </w:r>
          </w:p>
        </w:tc>
        <w:tc>
          <w:tcPr>
            <w:tcW w:w="2472"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3,846 (2,149 to 8,485)</w:t>
            </w:r>
          </w:p>
        </w:tc>
      </w:tr>
      <w:tr w:rsidR="00581DDC" w:rsidRPr="00E6427B" w:rsidTr="00D665B6">
        <w:trPr>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F868EA" w:rsidRDefault="00581DDC" w:rsidP="00D665B6">
            <w:pPr>
              <w:rPr>
                <w:rFonts w:eastAsia="Times New Roman" w:cs="Calibri"/>
                <w:b w:val="0"/>
                <w:color w:val="000000"/>
                <w:lang w:eastAsia="en-NZ"/>
              </w:rPr>
            </w:pPr>
            <w:r w:rsidRPr="00F868EA">
              <w:rPr>
                <w:rFonts w:eastAsia="Times New Roman" w:cs="Calibri"/>
                <w:b w:val="0"/>
                <w:color w:val="000000"/>
                <w:lang w:eastAsia="en-NZ"/>
              </w:rPr>
              <w:t>Christchurch</w:t>
            </w:r>
          </w:p>
        </w:tc>
        <w:tc>
          <w:tcPr>
            <w:tcW w:w="228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0.23 (0.18 to 0.33)</w:t>
            </w:r>
          </w:p>
        </w:tc>
        <w:tc>
          <w:tcPr>
            <w:tcW w:w="127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438,741</w:t>
            </w:r>
          </w:p>
        </w:tc>
        <w:tc>
          <w:tcPr>
            <w:tcW w:w="2472"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1,009 (790 to 1,448)</w:t>
            </w:r>
          </w:p>
        </w:tc>
      </w:tr>
      <w:tr w:rsidR="00581DDC" w:rsidRPr="00E6427B"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tcPr>
          <w:p w:rsidR="00581DDC" w:rsidRPr="00F868EA" w:rsidRDefault="00581DDC" w:rsidP="00D665B6">
            <w:pPr>
              <w:rPr>
                <w:rFonts w:eastAsia="Times New Roman" w:cs="Calibri"/>
                <w:b w:val="0"/>
                <w:color w:val="000000"/>
                <w:lang w:eastAsia="en-NZ"/>
              </w:rPr>
            </w:pPr>
          </w:p>
        </w:tc>
        <w:tc>
          <w:tcPr>
            <w:tcW w:w="2286" w:type="dxa"/>
            <w:shd w:val="clear" w:color="auto" w:fill="FFFFFF" w:themeFill="background1"/>
            <w:noWrap/>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c>
          <w:tcPr>
            <w:tcW w:w="1276" w:type="dxa"/>
            <w:shd w:val="clear" w:color="auto" w:fill="FFFFFF" w:themeFill="background1"/>
            <w:noWrap/>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c>
          <w:tcPr>
            <w:tcW w:w="2472" w:type="dxa"/>
            <w:shd w:val="clear" w:color="auto" w:fill="FFFFFF" w:themeFill="background1"/>
            <w:noWrap/>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p>
        </w:tc>
      </w:tr>
      <w:tr w:rsidR="00581DDC" w:rsidRPr="00E6427B" w:rsidTr="00D665B6">
        <w:trPr>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F868EA" w:rsidRDefault="00581DDC" w:rsidP="00D665B6">
            <w:pPr>
              <w:rPr>
                <w:rFonts w:eastAsia="Times New Roman" w:cs="Calibri"/>
                <w:color w:val="000000"/>
                <w:lang w:eastAsia="en-NZ"/>
              </w:rPr>
            </w:pPr>
            <w:r w:rsidRPr="00F868EA">
              <w:rPr>
                <w:rFonts w:eastAsia="Times New Roman" w:cs="Calibri"/>
                <w:color w:val="000000"/>
                <w:lang w:eastAsia="en-NZ"/>
              </w:rPr>
              <w:t>Age ≥ 40 years</w:t>
            </w:r>
          </w:p>
        </w:tc>
        <w:tc>
          <w:tcPr>
            <w:tcW w:w="228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p>
        </w:tc>
        <w:tc>
          <w:tcPr>
            <w:tcW w:w="127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p>
        </w:tc>
        <w:tc>
          <w:tcPr>
            <w:tcW w:w="2472"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p>
        </w:tc>
      </w:tr>
      <w:tr w:rsidR="00581DDC" w:rsidRPr="00E6427B"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F868EA" w:rsidRDefault="00581DDC" w:rsidP="00D665B6">
            <w:pPr>
              <w:rPr>
                <w:rFonts w:eastAsia="Times New Roman" w:cs="Calibri"/>
                <w:b w:val="0"/>
                <w:color w:val="000000"/>
                <w:lang w:eastAsia="en-NZ"/>
              </w:rPr>
            </w:pPr>
            <w:r w:rsidRPr="00F868EA">
              <w:rPr>
                <w:rFonts w:eastAsia="Times New Roman" w:cs="Calibri"/>
                <w:b w:val="0"/>
                <w:color w:val="000000"/>
                <w:lang w:eastAsia="en-NZ"/>
              </w:rPr>
              <w:t>ADHB &amp; Waitemata</w:t>
            </w:r>
          </w:p>
        </w:tc>
        <w:tc>
          <w:tcPr>
            <w:tcW w:w="2286"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0.34 (0.27 to 0.46)</w:t>
            </w:r>
          </w:p>
        </w:tc>
        <w:tc>
          <w:tcPr>
            <w:tcW w:w="1276"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445,040</w:t>
            </w:r>
          </w:p>
        </w:tc>
        <w:tc>
          <w:tcPr>
            <w:tcW w:w="2472"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459 (360 to 620)</w:t>
            </w:r>
          </w:p>
        </w:tc>
      </w:tr>
      <w:tr w:rsidR="00581DDC" w:rsidRPr="00E6427B" w:rsidTr="00D665B6">
        <w:trPr>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F868EA" w:rsidRDefault="00581DDC" w:rsidP="00D665B6">
            <w:pPr>
              <w:rPr>
                <w:rFonts w:eastAsia="Times New Roman" w:cs="Calibri"/>
                <w:b w:val="0"/>
                <w:color w:val="000000"/>
                <w:lang w:eastAsia="en-NZ"/>
              </w:rPr>
            </w:pPr>
            <w:r>
              <w:rPr>
                <w:rFonts w:eastAsia="Times New Roman" w:cs="Calibri"/>
                <w:b w:val="0"/>
                <w:color w:val="000000"/>
                <w:lang w:eastAsia="en-NZ"/>
              </w:rPr>
              <w:t>Counties Manukau</w:t>
            </w:r>
          </w:p>
        </w:tc>
        <w:tc>
          <w:tcPr>
            <w:tcW w:w="228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1.56 (0.88 to 3.41)</w:t>
            </w:r>
          </w:p>
        </w:tc>
        <w:tc>
          <w:tcPr>
            <w:tcW w:w="1276"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205,140</w:t>
            </w:r>
          </w:p>
        </w:tc>
        <w:tc>
          <w:tcPr>
            <w:tcW w:w="2472" w:type="dxa"/>
            <w:shd w:val="clear" w:color="auto" w:fill="FFFFFF" w:themeFill="background1"/>
            <w:noWrap/>
            <w:hideMark/>
          </w:tcPr>
          <w:p w:rsidR="00581DDC" w:rsidRPr="00F868EA" w:rsidRDefault="00581DDC" w:rsidP="00D665B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960 (540 to 2,100)</w:t>
            </w:r>
          </w:p>
        </w:tc>
      </w:tr>
      <w:tr w:rsidR="00581DDC" w:rsidRPr="00E6427B" w:rsidTr="00D6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noWrap/>
            <w:hideMark/>
          </w:tcPr>
          <w:p w:rsidR="00581DDC" w:rsidRPr="00F868EA" w:rsidRDefault="00581DDC" w:rsidP="00D665B6">
            <w:pPr>
              <w:rPr>
                <w:rFonts w:eastAsia="Times New Roman" w:cs="Calibri"/>
                <w:b w:val="0"/>
                <w:color w:val="000000"/>
                <w:lang w:eastAsia="en-NZ"/>
              </w:rPr>
            </w:pPr>
            <w:r w:rsidRPr="00F868EA">
              <w:rPr>
                <w:rFonts w:eastAsia="Times New Roman" w:cs="Calibri"/>
                <w:b w:val="0"/>
                <w:color w:val="000000"/>
                <w:lang w:eastAsia="en-NZ"/>
              </w:rPr>
              <w:t>Christchurch</w:t>
            </w:r>
          </w:p>
        </w:tc>
        <w:tc>
          <w:tcPr>
            <w:tcW w:w="2286"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0.37 (0.28 to 0.52)</w:t>
            </w:r>
          </w:p>
        </w:tc>
        <w:tc>
          <w:tcPr>
            <w:tcW w:w="1276"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244,830</w:t>
            </w:r>
          </w:p>
        </w:tc>
        <w:tc>
          <w:tcPr>
            <w:tcW w:w="2472" w:type="dxa"/>
            <w:shd w:val="clear" w:color="auto" w:fill="FFFFFF" w:themeFill="background1"/>
            <w:noWrap/>
            <w:hideMark/>
          </w:tcPr>
          <w:p w:rsidR="00581DDC" w:rsidRPr="00F868EA" w:rsidRDefault="00581DDC" w:rsidP="00D665B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NZ"/>
              </w:rPr>
            </w:pPr>
            <w:r w:rsidRPr="00F868EA">
              <w:rPr>
                <w:rFonts w:eastAsia="Times New Roman" w:cs="Calibri"/>
                <w:color w:val="000000"/>
                <w:lang w:eastAsia="en-NZ"/>
              </w:rPr>
              <w:t>273 (207 to 383)</w:t>
            </w:r>
          </w:p>
        </w:tc>
      </w:tr>
    </w:tbl>
    <w:p w:rsidR="00581DDC" w:rsidRPr="00F27C57" w:rsidRDefault="00581DDC" w:rsidP="00581DDC">
      <w:pPr>
        <w:keepNext/>
        <w:keepLines/>
        <w:widowControl w:val="0"/>
        <w:rPr>
          <w:b/>
        </w:rPr>
      </w:pPr>
    </w:p>
    <w:p w:rsidR="00581DDC" w:rsidRPr="00FE7C16" w:rsidRDefault="00581DDC" w:rsidP="00581DDC">
      <w:pPr>
        <w:rPr>
          <w:b/>
        </w:rPr>
      </w:pPr>
    </w:p>
    <w:p w:rsidR="00581DDC" w:rsidRDefault="00581DDC" w:rsidP="00D41056">
      <w:pPr>
        <w:rPr>
          <w:b/>
        </w:rPr>
      </w:pPr>
    </w:p>
    <w:p w:rsidR="00581DDC" w:rsidRDefault="00581DDC" w:rsidP="00D41056">
      <w:pPr>
        <w:rPr>
          <w:b/>
        </w:rPr>
      </w:pPr>
    </w:p>
    <w:p w:rsidR="00581DDC" w:rsidRDefault="00581DDC" w:rsidP="00D41056">
      <w:pPr>
        <w:rPr>
          <w:b/>
        </w:rPr>
      </w:pPr>
    </w:p>
    <w:p w:rsidR="0050303A" w:rsidRDefault="00714FCB" w:rsidP="00D41056">
      <w:r>
        <w:t xml:space="preserve">For the purposes of obtaining a rough comparison of these results with </w:t>
      </w:r>
      <w:r w:rsidR="001C2988">
        <w:t>survey</w:t>
      </w:r>
      <w:r>
        <w:t xml:space="preserve"> and capture-recapture </w:t>
      </w:r>
      <w:r w:rsidR="001C2988">
        <w:t>studies</w:t>
      </w:r>
      <w:r>
        <w:t xml:space="preserve"> in other countries, a</w:t>
      </w:r>
      <w:r w:rsidR="0050303A">
        <w:t xml:space="preserve"> supplementary analysis</w:t>
      </w:r>
      <w:r w:rsidR="00FD39B6">
        <w:t xml:space="preserve"> </w:t>
      </w:r>
      <w:r>
        <w:t xml:space="preserve">was conducted to assess </w:t>
      </w:r>
      <w:r w:rsidR="00FD39B6">
        <w:t xml:space="preserve">the prevalence of </w:t>
      </w:r>
      <w:r>
        <w:t xml:space="preserve">blindness according to the generally accepted international definition of blindness, </w:t>
      </w:r>
      <w:r w:rsidR="00FD39B6">
        <w:t xml:space="preserve">BCVA </w:t>
      </w:r>
      <w:r w:rsidR="00FD39B6" w:rsidRPr="007503A8">
        <w:rPr>
          <w:rFonts w:eastAsia="Times New Roman" w:cs="Times New Roman"/>
          <w:color w:val="000000"/>
          <w:lang w:eastAsia="en-NZ"/>
        </w:rPr>
        <w:t>≤</w:t>
      </w:r>
      <w:r w:rsidR="00FD39B6" w:rsidRPr="007503A8">
        <w:rPr>
          <w:rFonts w:eastAsia="Times New Roman" w:cs="Times New Roman"/>
          <w:b/>
          <w:color w:val="000000"/>
          <w:lang w:eastAsia="en-NZ"/>
        </w:rPr>
        <w:t xml:space="preserve"> </w:t>
      </w:r>
      <w:r w:rsidR="00FD39B6" w:rsidRPr="007503A8">
        <w:rPr>
          <w:rFonts w:eastAsia="Times New Roman" w:cs="Times New Roman"/>
          <w:color w:val="000000"/>
          <w:lang w:eastAsia="en-NZ"/>
        </w:rPr>
        <w:t>6/</w:t>
      </w:r>
      <w:r w:rsidR="00FD39B6">
        <w:rPr>
          <w:rFonts w:eastAsia="Times New Roman" w:cs="Times New Roman"/>
          <w:color w:val="000000"/>
          <w:lang w:eastAsia="en-NZ"/>
        </w:rPr>
        <w:t>6</w:t>
      </w:r>
      <w:r w:rsidR="009F2F59">
        <w:rPr>
          <w:rFonts w:eastAsia="Times New Roman" w:cs="Times New Roman"/>
          <w:color w:val="000000"/>
          <w:lang w:eastAsia="en-NZ"/>
        </w:rPr>
        <w:t xml:space="preserve">0 </w:t>
      </w:r>
      <w:r>
        <w:rPr>
          <w:rFonts w:eastAsia="Times New Roman" w:cs="Times New Roman"/>
          <w:b/>
          <w:color w:val="000000"/>
          <w:lang w:eastAsia="en-NZ"/>
        </w:rPr>
        <w:t>(</w:t>
      </w:r>
      <w:r w:rsidR="009F2F59" w:rsidRPr="009F2F59">
        <w:rPr>
          <w:rFonts w:eastAsia="Times New Roman" w:cs="Times New Roman"/>
          <w:b/>
          <w:color w:val="000000"/>
          <w:lang w:eastAsia="en-NZ"/>
        </w:rPr>
        <w:t>Table S1</w:t>
      </w:r>
      <w:r w:rsidR="009F2F59">
        <w:rPr>
          <w:rFonts w:eastAsia="Times New Roman" w:cs="Times New Roman"/>
          <w:color w:val="000000"/>
          <w:lang w:eastAsia="en-NZ"/>
        </w:rPr>
        <w:t>)</w:t>
      </w:r>
      <w:r w:rsidR="00FD39B6">
        <w:rPr>
          <w:rFonts w:eastAsia="Times New Roman" w:cs="Times New Roman"/>
          <w:color w:val="000000"/>
          <w:lang w:eastAsia="en-NZ"/>
        </w:rPr>
        <w:t>.</w:t>
      </w:r>
      <w:r w:rsidR="009F2F59">
        <w:rPr>
          <w:rFonts w:eastAsia="Times New Roman" w:cs="Times New Roman"/>
          <w:color w:val="000000"/>
          <w:lang w:eastAsia="en-NZ"/>
        </w:rPr>
        <w:t xml:space="preserve"> The </w:t>
      </w:r>
      <w:r>
        <w:t xml:space="preserve">prevalence of blindness meeting this definition for all subjects aged </w:t>
      </w:r>
      <w:r w:rsidR="0063081F">
        <w:t>40</w:t>
      </w:r>
      <w:r>
        <w:t xml:space="preserve"> and over was 0.</w:t>
      </w:r>
      <w:r w:rsidR="0063081F">
        <w:t>34</w:t>
      </w:r>
      <w:r>
        <w:t xml:space="preserve">% for AWDHB, </w:t>
      </w:r>
      <w:r w:rsidR="0063081F">
        <w:t>1.56</w:t>
      </w:r>
      <w:r>
        <w:t>% for CMDHB and 0</w:t>
      </w:r>
      <w:r w:rsidR="0063081F">
        <w:t>.37</w:t>
      </w:r>
      <w:r>
        <w:t xml:space="preserve">% for CDHB. </w:t>
      </w:r>
      <w:r w:rsidR="00A8133C">
        <w:t xml:space="preserve">The total prevalence of blindness </w:t>
      </w:r>
      <w:r w:rsidR="00D545AE">
        <w:t>from summing the numerators and denominators of all three regions, according to</w:t>
      </w:r>
      <w:r w:rsidR="00A8133C">
        <w:t xml:space="preserve"> this definition (BCVA </w:t>
      </w:r>
      <w:r w:rsidR="00A8133C" w:rsidRPr="007503A8">
        <w:rPr>
          <w:rFonts w:eastAsia="Times New Roman" w:cs="Times New Roman"/>
          <w:color w:val="000000"/>
          <w:lang w:eastAsia="en-NZ"/>
        </w:rPr>
        <w:t>≤</w:t>
      </w:r>
      <w:r w:rsidR="00A8133C" w:rsidRPr="007503A8">
        <w:rPr>
          <w:rFonts w:eastAsia="Times New Roman" w:cs="Times New Roman"/>
          <w:b/>
          <w:color w:val="000000"/>
          <w:lang w:eastAsia="en-NZ"/>
        </w:rPr>
        <w:t xml:space="preserve"> </w:t>
      </w:r>
      <w:r w:rsidR="00A8133C" w:rsidRPr="007503A8">
        <w:rPr>
          <w:rFonts w:eastAsia="Times New Roman" w:cs="Times New Roman"/>
          <w:color w:val="000000"/>
          <w:lang w:eastAsia="en-NZ"/>
        </w:rPr>
        <w:t>6/</w:t>
      </w:r>
      <w:r w:rsidR="00A8133C">
        <w:rPr>
          <w:rFonts w:eastAsia="Times New Roman" w:cs="Times New Roman"/>
          <w:color w:val="000000"/>
          <w:lang w:eastAsia="en-NZ"/>
        </w:rPr>
        <w:t xml:space="preserve">60) </w:t>
      </w:r>
      <w:r w:rsidR="00A8133C">
        <w:t>was 0.63%</w:t>
      </w:r>
      <w:r w:rsidR="001C03B4">
        <w:t xml:space="preserve"> for people aged 40 years or more</w:t>
      </w:r>
      <w:r w:rsidR="00A8133C">
        <w:t>.</w:t>
      </w:r>
    </w:p>
    <w:p w:rsidR="00FD70DD" w:rsidRDefault="00FD70DD" w:rsidP="001959AE">
      <w:pPr>
        <w:pStyle w:val="Heading1"/>
      </w:pPr>
      <w:r>
        <w:t>Discussion</w:t>
      </w:r>
    </w:p>
    <w:p w:rsidR="00545079" w:rsidRDefault="00FD70DD" w:rsidP="00FD70DD">
      <w:r>
        <w:t>This study is the first to our knowledge to use capture-recapture to estimate the prevalence of blindness in</w:t>
      </w:r>
      <w:r w:rsidR="00C4292F">
        <w:t xml:space="preserve"> </w:t>
      </w:r>
      <w:r w:rsidR="006161EA">
        <w:t xml:space="preserve">any region of </w:t>
      </w:r>
      <w:r>
        <w:t xml:space="preserve">New Zealand. </w:t>
      </w:r>
      <w:r w:rsidR="007F2C9D">
        <w:t>In people aged</w:t>
      </w:r>
      <w:r w:rsidR="005F7DDE">
        <w:t xml:space="preserve"> </w:t>
      </w:r>
      <w:r w:rsidR="00EB3BB3">
        <w:t xml:space="preserve">15 </w:t>
      </w:r>
      <w:r>
        <w:t>years</w:t>
      </w:r>
      <w:r w:rsidR="005F7DDE">
        <w:t xml:space="preserve"> or more</w:t>
      </w:r>
      <w:r>
        <w:t xml:space="preserve">, a </w:t>
      </w:r>
      <w:r w:rsidR="007F2C9D">
        <w:t>prevalence of</w:t>
      </w:r>
      <w:r>
        <w:t xml:space="preserve"> </w:t>
      </w:r>
      <w:r w:rsidR="002F507C">
        <w:t>blindness (</w:t>
      </w:r>
      <w:r w:rsidR="002F507C" w:rsidRPr="002F507C">
        <w:t>≤</w:t>
      </w:r>
      <w:r w:rsidR="00C215EF">
        <w:t xml:space="preserve"> </w:t>
      </w:r>
      <w:r w:rsidR="002F507C" w:rsidRPr="002F507C">
        <w:t>6/</w:t>
      </w:r>
      <w:r w:rsidR="00515E15">
        <w:t>24</w:t>
      </w:r>
      <w:r w:rsidR="002F507C">
        <w:t>)</w:t>
      </w:r>
      <w:r w:rsidR="002F507C">
        <w:rPr>
          <w:b/>
        </w:rPr>
        <w:t xml:space="preserve"> </w:t>
      </w:r>
      <w:r w:rsidR="007F2C9D">
        <w:t xml:space="preserve">was estimated at </w:t>
      </w:r>
      <w:r w:rsidR="00515E15">
        <w:t>5</w:t>
      </w:r>
      <w:r w:rsidR="007F2C9D">
        <w:t xml:space="preserve"> per 1,000 people</w:t>
      </w:r>
      <w:r w:rsidR="00515E15">
        <w:t xml:space="preserve"> in </w:t>
      </w:r>
      <w:r w:rsidR="00EB3BB3">
        <w:t>AMDHB</w:t>
      </w:r>
      <w:r w:rsidR="00515E15">
        <w:t xml:space="preserve"> and </w:t>
      </w:r>
      <w:r w:rsidR="00EB3BB3">
        <w:t xml:space="preserve">CDHB </w:t>
      </w:r>
      <w:r w:rsidR="00515E15">
        <w:t>regions with a four</w:t>
      </w:r>
      <w:r w:rsidR="00EB3BB3">
        <w:t>-</w:t>
      </w:r>
      <w:r w:rsidR="00515E15">
        <w:t>fold increase</w:t>
      </w:r>
      <w:r w:rsidR="00EC453B">
        <w:t xml:space="preserve"> </w:t>
      </w:r>
      <w:r w:rsidR="00EB3BB3">
        <w:t xml:space="preserve">to </w:t>
      </w:r>
      <w:r w:rsidR="00EC453B">
        <w:t>2 in 100 people</w:t>
      </w:r>
      <w:r w:rsidR="00515E15">
        <w:t xml:space="preserve"> in </w:t>
      </w:r>
      <w:r w:rsidR="00EB3BB3">
        <w:t>CMDHB</w:t>
      </w:r>
      <w:r w:rsidR="007F2C9D">
        <w:t>.</w:t>
      </w:r>
      <w:r w:rsidR="006161EA">
        <w:t xml:space="preserve"> </w:t>
      </w:r>
      <w:r w:rsidR="00D545AE">
        <w:t>W</w:t>
      </w:r>
      <w:r w:rsidR="006161EA">
        <w:t>e use</w:t>
      </w:r>
      <w:r w:rsidR="00D545AE">
        <w:t>d</w:t>
      </w:r>
      <w:r w:rsidR="006161EA">
        <w:t xml:space="preserve"> the NZBF criteria for membership for our definition of blindness (</w:t>
      </w:r>
      <w:r w:rsidR="006161EA" w:rsidRPr="002F507C">
        <w:t>≤</w:t>
      </w:r>
      <w:r w:rsidR="006161EA">
        <w:t xml:space="preserve"> </w:t>
      </w:r>
      <w:r w:rsidR="006161EA" w:rsidRPr="002F507C">
        <w:t>6/</w:t>
      </w:r>
      <w:r w:rsidR="006161EA">
        <w:t>24),</w:t>
      </w:r>
      <w:r w:rsidR="006161EA">
        <w:rPr>
          <w:b/>
        </w:rPr>
        <w:t xml:space="preserve"> </w:t>
      </w:r>
      <w:r w:rsidR="006161EA">
        <w:t>since we were primarily interested in the numbers of potential clients that the NZBF could expect in each major urban region.</w:t>
      </w:r>
    </w:p>
    <w:p w:rsidR="00545079" w:rsidRDefault="00545079" w:rsidP="00FD70DD">
      <w:r>
        <w:t xml:space="preserve">Strengths of the study include the use of routinely collected health data, </w:t>
      </w:r>
      <w:r w:rsidR="005F7DDE">
        <w:t xml:space="preserve">minimising </w:t>
      </w:r>
      <w:r>
        <w:t>problems associated with surveys, such as non-respon</w:t>
      </w:r>
      <w:r w:rsidR="00B7456D">
        <w:t>se</w:t>
      </w:r>
      <w:r w:rsidR="00704956">
        <w:t xml:space="preserve"> </w:t>
      </w:r>
      <w:r w:rsidR="00C215EF">
        <w:t>that leads to</w:t>
      </w:r>
      <w:r w:rsidR="00D54696">
        <w:t xml:space="preserve"> selection</w:t>
      </w:r>
      <w:r w:rsidR="00C215EF">
        <w:t xml:space="preserve"> </w:t>
      </w:r>
      <w:r>
        <w:t>bias. This study is also relatively efficient and</w:t>
      </w:r>
      <w:r w:rsidR="005F7DDE">
        <w:t xml:space="preserve"> </w:t>
      </w:r>
      <w:r>
        <w:t xml:space="preserve">less costly </w:t>
      </w:r>
      <w:r w:rsidR="005F7DDE">
        <w:t xml:space="preserve">when compared to a </w:t>
      </w:r>
      <w:r>
        <w:t>population survey.</w:t>
      </w:r>
    </w:p>
    <w:p w:rsidR="000E063B" w:rsidRDefault="000E063B" w:rsidP="00FD70DD">
      <w:r>
        <w:t xml:space="preserve">The results of the models had some face validity, in that estimates derived from the same lists that had </w:t>
      </w:r>
      <w:r w:rsidR="00602914">
        <w:t xml:space="preserve">a </w:t>
      </w:r>
      <w:r>
        <w:t xml:space="preserve">greater </w:t>
      </w:r>
      <w:r w:rsidR="00602914">
        <w:t xml:space="preserve">degree of </w:t>
      </w:r>
      <w:r>
        <w:t xml:space="preserve">age restriction, resulted in smaller total numbers of </w:t>
      </w:r>
      <w:r w:rsidR="00BF299B">
        <w:t xml:space="preserve">incident </w:t>
      </w:r>
      <w:r>
        <w:t xml:space="preserve">cases </w:t>
      </w:r>
      <w:r w:rsidR="00BF299B">
        <w:t>e</w:t>
      </w:r>
      <w:r>
        <w:t>stimated</w:t>
      </w:r>
      <w:r w:rsidR="00BF299B">
        <w:t xml:space="preserve"> as expected</w:t>
      </w:r>
      <w:r>
        <w:t>. One exception to this was in CMDHB where for BCVA ≤ 6/60</w:t>
      </w:r>
      <w:r w:rsidR="009F2905">
        <w:t xml:space="preserve"> (</w:t>
      </w:r>
      <w:r w:rsidR="009F2905" w:rsidRPr="00F33280">
        <w:rPr>
          <w:b/>
        </w:rPr>
        <w:t>Table S1</w:t>
      </w:r>
      <w:r w:rsidR="009F2905">
        <w:t>)</w:t>
      </w:r>
      <w:r>
        <w:t xml:space="preserve">, the </w:t>
      </w:r>
      <w:r w:rsidR="00BF299B">
        <w:t xml:space="preserve">point estimate </w:t>
      </w:r>
      <w:r>
        <w:t xml:space="preserve">of </w:t>
      </w:r>
      <w:r w:rsidR="00BF299B">
        <w:t>the i</w:t>
      </w:r>
      <w:r>
        <w:t>ncident cases was higher in the over 40 year estimate than the corresponding number for people aged 15 years or over. Over many repetitions, we would expect the number of cases estimated from a subsample of a capture-recapture study to be lower than from the total, however, it is possible that an apparently paradoxical increase may be observed</w:t>
      </w:r>
      <w:r w:rsidR="009F2905">
        <w:t xml:space="preserve"> </w:t>
      </w:r>
      <w:r w:rsidR="00602914">
        <w:t>in a single instance</w:t>
      </w:r>
      <w:r>
        <w:t>. The confidence inte</w:t>
      </w:r>
      <w:r w:rsidR="009F2905">
        <w:t xml:space="preserve">rvals </w:t>
      </w:r>
      <w:r w:rsidR="00BF299B">
        <w:t xml:space="preserve">in the statistic for the </w:t>
      </w:r>
      <w:r w:rsidR="009F2905">
        <w:t>40 years</w:t>
      </w:r>
      <w:r w:rsidR="00BF299B">
        <w:t xml:space="preserve"> and over group</w:t>
      </w:r>
      <w:r w:rsidR="009F2905">
        <w:t xml:space="preserve"> is wide (540 to 2,100) and </w:t>
      </w:r>
      <w:r w:rsidR="00BF299B">
        <w:t>extends beyond</w:t>
      </w:r>
      <w:r w:rsidR="009F2905">
        <w:t xml:space="preserve"> the range of the estimate for </w:t>
      </w:r>
      <w:r w:rsidR="00BF299B">
        <w:t>those</w:t>
      </w:r>
      <w:r w:rsidR="009F2905">
        <w:t xml:space="preserve"> aged 15 years and over (575 to 875), so these </w:t>
      </w:r>
      <w:r w:rsidR="00DD5FE1">
        <w:t xml:space="preserve">two </w:t>
      </w:r>
      <w:r w:rsidR="009F2905">
        <w:t xml:space="preserve">estimates are not completely </w:t>
      </w:r>
      <w:r w:rsidR="00C22FAD">
        <w:t>incompatible</w:t>
      </w:r>
      <w:r>
        <w:t xml:space="preserve">. </w:t>
      </w:r>
    </w:p>
    <w:p w:rsidR="00C942A3" w:rsidRDefault="00C942A3" w:rsidP="00FD70DD">
      <w:r>
        <w:t xml:space="preserve">The study has some limitations. </w:t>
      </w:r>
      <w:r w:rsidRPr="00C942A3">
        <w:t>Because the study relies on existing lists</w:t>
      </w:r>
      <w:r w:rsidR="00C215EF">
        <w:t>,</w:t>
      </w:r>
      <w:r w:rsidRPr="00C942A3">
        <w:t xml:space="preserve"> there was a small amount of missing data such as </w:t>
      </w:r>
      <w:r w:rsidR="00193A60">
        <w:t>unique identifier (</w:t>
      </w:r>
      <w:r w:rsidRPr="00C942A3">
        <w:t>NHI</w:t>
      </w:r>
      <w:r w:rsidR="00193A60">
        <w:t>)</w:t>
      </w:r>
      <w:r w:rsidRPr="00C942A3">
        <w:t xml:space="preserve"> information</w:t>
      </w:r>
      <w:r>
        <w:t xml:space="preserve"> present in the Blind Foundation list</w:t>
      </w:r>
      <w:r w:rsidRPr="00C942A3">
        <w:t xml:space="preserve">. In addition, capture-recapture methods rely on several assumptions, such as a closed population (no </w:t>
      </w:r>
      <w:r w:rsidR="00193A60">
        <w:t>migration, loss or deaths)</w:t>
      </w:r>
      <w:r w:rsidRPr="00C942A3">
        <w:t xml:space="preserve">. The log-linear models used were, however, able to account for between-list dependence </w:t>
      </w:r>
      <w:r w:rsidR="00D54696">
        <w:t>involving</w:t>
      </w:r>
      <w:r w:rsidR="00D54696" w:rsidRPr="00C942A3">
        <w:t xml:space="preserve"> </w:t>
      </w:r>
      <w:r w:rsidR="00704956">
        <w:t xml:space="preserve">different </w:t>
      </w:r>
      <w:r w:rsidRPr="00C942A3">
        <w:t>capture occasions.</w:t>
      </w:r>
      <w:r w:rsidR="003E7257">
        <w:t xml:space="preserve"> Models have a limited ability to account for between list dependence where two lists are present, but this mechanism is explicitly considered</w:t>
      </w:r>
      <w:r w:rsidR="00555ADD">
        <w:t xml:space="preserve"> in</w:t>
      </w:r>
      <w:r w:rsidR="003E7257">
        <w:t xml:space="preserve"> models where three lists are </w:t>
      </w:r>
      <w:r w:rsidR="001C2988">
        <w:t>available</w:t>
      </w:r>
      <w:r w:rsidR="003E7257">
        <w:t xml:space="preserve">. </w:t>
      </w:r>
      <w:r w:rsidR="00BC429F">
        <w:t xml:space="preserve">There was some uncertainty in the average survival of people who met the criteria for blindness. The figure of </w:t>
      </w:r>
      <w:r w:rsidR="003C6439">
        <w:t xml:space="preserve">ten </w:t>
      </w:r>
      <w:r w:rsidR="00BC429F">
        <w:t xml:space="preserve">years came from the best available data source: the </w:t>
      </w:r>
      <w:r w:rsidR="00EB3BB3">
        <w:t>NZBF member list</w:t>
      </w:r>
      <w:r w:rsidR="00BC429F">
        <w:t xml:space="preserve"> and mortality records. However, survival is likely to be greater for people with low vision, and lower for people classified as blind, using the international definition (</w:t>
      </w:r>
      <w:r w:rsidR="001973A4">
        <w:t xml:space="preserve">BCVA </w:t>
      </w:r>
      <w:r w:rsidR="00BC429F">
        <w:t>≤</w:t>
      </w:r>
      <w:r w:rsidR="001973A4">
        <w:t xml:space="preserve">6/60). For this reason, </w:t>
      </w:r>
      <w:r w:rsidR="00EC453B">
        <w:t>the</w:t>
      </w:r>
      <w:r w:rsidR="001973A4">
        <w:t xml:space="preserve"> prevalence of blindness at the level of 6/60 or less is likely to be overestimated.</w:t>
      </w:r>
    </w:p>
    <w:p w:rsidR="00EC453B" w:rsidRDefault="00EC453B" w:rsidP="00FD70DD">
      <w:r>
        <w:t xml:space="preserve">The two list analyses carried out in </w:t>
      </w:r>
      <w:r w:rsidR="00EB3BB3">
        <w:t xml:space="preserve">CDHB </w:t>
      </w:r>
      <w:r>
        <w:t xml:space="preserve">and </w:t>
      </w:r>
      <w:r w:rsidR="00EB3BB3">
        <w:t>CMDHB</w:t>
      </w:r>
      <w:r>
        <w:t xml:space="preserve"> are likely to be less accurate than the three list one carried out in </w:t>
      </w:r>
      <w:r w:rsidR="00EB3BB3">
        <w:t>AWDHB</w:t>
      </w:r>
      <w:r>
        <w:t>. The presence of three lists enables varying models of different levels of complexity to be estimated,</w:t>
      </w:r>
      <w:r w:rsidR="001054BD">
        <w:t xml:space="preserve"> including varying degrees of between list dependence,</w:t>
      </w:r>
      <w:r>
        <w:t xml:space="preserve"> and the best fitting model selected, whereas in the case of two lists, only one model is possible. The higher prevalence of blindness obtained in </w:t>
      </w:r>
      <w:r w:rsidR="004524BF">
        <w:t>CMDHB</w:t>
      </w:r>
      <w:r>
        <w:t xml:space="preserve"> is striking, however, there are reasons this finding </w:t>
      </w:r>
      <w:r w:rsidR="001B4A86">
        <w:t xml:space="preserve">is </w:t>
      </w:r>
      <w:r>
        <w:t xml:space="preserve">plausible. Type-2 diabetes is more common in Counties Manukau, compared to other parts of Auckland, due to </w:t>
      </w:r>
      <w:r w:rsidR="004524BF">
        <w:t xml:space="preserve">its high </w:t>
      </w:r>
      <w:r w:rsidR="00612EDD">
        <w:t>prevalence among people of Pacific and M</w:t>
      </w:r>
      <w:r w:rsidR="00D54696">
        <w:t>ā</w:t>
      </w:r>
      <w:r w:rsidR="00612EDD">
        <w:t>ori descent.</w:t>
      </w:r>
      <w:r w:rsidR="001B4A86">
        <w:fldChar w:fldCharType="begin"/>
      </w:r>
      <w:r w:rsidR="000E063B">
        <w:instrText xml:space="preserve"> ADDIN EN.CITE &lt;EndNote&gt;&lt;Cite&gt;&lt;Author&gt;Ministry of Health&lt;/Author&gt;&lt;Year&gt;2007&lt;/Year&gt;&lt;RecNum&gt;146&lt;/RecNum&gt;&lt;DisplayText&gt;&lt;style face="superscript"&gt;7&lt;/style&gt;&lt;/DisplayText&gt;&lt;record&gt;&lt;rec-number&gt;146&lt;/rec-number&gt;&lt;foreign-keys&gt;&lt;key app="EN" db-id="pprz59ezusw2voefax6p2e9uxd5aa9adaxzv" timestamp="1451435081"&gt;146&lt;/key&gt;&lt;/foreign-keys&gt;&lt;ref-type name="Report"&gt;27&lt;/ref-type&gt;&lt;contributors&gt;&lt;authors&gt;&lt;author&gt;Ministry of Health,.&lt;/author&gt;&lt;/authors&gt;&lt;/contributors&gt;&lt;titles&gt;&lt;title&gt;Diabetes Surveillance: Population-based estimates and projections for New Zealand, 2001-2011&lt;/title&gt;&lt;secondary-title&gt;Public Health Intelligence Occasional Bulletin No. 46&lt;/secondary-title&gt;&lt;/titles&gt;&lt;dates&gt;&lt;year&gt;2007&lt;/year&gt;&lt;/dates&gt;&lt;pub-location&gt;Wellington&lt;/pub-location&gt;&lt;publisher&gt;Ministry of Health&lt;/publisher&gt;&lt;urls&gt;&lt;/urls&gt;&lt;/record&gt;&lt;/Cite&gt;&lt;/EndNote&gt;</w:instrText>
      </w:r>
      <w:r w:rsidR="001B4A86">
        <w:fldChar w:fldCharType="separate"/>
      </w:r>
      <w:r w:rsidR="000E063B" w:rsidRPr="000E063B">
        <w:rPr>
          <w:noProof/>
          <w:vertAlign w:val="superscript"/>
        </w:rPr>
        <w:t>7</w:t>
      </w:r>
      <w:r w:rsidR="001B4A86">
        <w:fldChar w:fldCharType="end"/>
      </w:r>
      <w:r w:rsidR="00612EDD">
        <w:t xml:space="preserve"> Type-2 diabetes is also more common at younger age groups in these populations.</w:t>
      </w:r>
    </w:p>
    <w:p w:rsidR="001973A4" w:rsidRDefault="001973A4" w:rsidP="00FD70DD">
      <w:r>
        <w:t>Capture-recapture entails a number of assumptions associated with its use. Log-linear models, with the use of three lists are able to account for between</w:t>
      </w:r>
      <w:r w:rsidR="00612EDD">
        <w:t>-</w:t>
      </w:r>
      <w:r>
        <w:t>list interaction</w:t>
      </w:r>
      <w:r w:rsidR="00612EDD">
        <w:t>s</w:t>
      </w:r>
      <w:r>
        <w:t>, however, the order of interactions between lists</w:t>
      </w:r>
      <w:r w:rsidR="000D3216">
        <w:t xml:space="preserve"> in the model (compared to the data)</w:t>
      </w:r>
      <w:r>
        <w:t xml:space="preserve"> is limited so that the model can be solved. The counts within each combination of lists is assumed to be Poisson distributed, and clustering by covariates, such as </w:t>
      </w:r>
      <w:r w:rsidR="005972BE">
        <w:t xml:space="preserve">by </w:t>
      </w:r>
      <w:r>
        <w:t>age group or ethnicity</w:t>
      </w:r>
      <w:r w:rsidR="005972BE">
        <w:t>,</w:t>
      </w:r>
      <w:r>
        <w:t xml:space="preserve"> may result in extra-Poisson variation. </w:t>
      </w:r>
      <w:r w:rsidR="000D3216">
        <w:t>The method assumes also that NHI codes do not change and only true matches are identified. The NHI code system is curated in New Zealand, so that no two individuals share an identifier, so this assumption is likely to be met.</w:t>
      </w:r>
    </w:p>
    <w:p w:rsidR="00E77FC0" w:rsidRDefault="00016791" w:rsidP="00E77FC0">
      <w:r>
        <w:t xml:space="preserve">A summary of other studies </w:t>
      </w:r>
      <w:r w:rsidR="005F7DDE">
        <w:t>that have estimated</w:t>
      </w:r>
      <w:r>
        <w:t xml:space="preserve"> the prevalence of blindness is provided in </w:t>
      </w:r>
      <w:r w:rsidR="00DA22E1" w:rsidRPr="00DA22E1">
        <w:rPr>
          <w:b/>
        </w:rPr>
        <w:t>Table 2</w:t>
      </w:r>
      <w:r>
        <w:t>.</w:t>
      </w:r>
      <w:r w:rsidR="00193A60">
        <w:t xml:space="preserve"> </w:t>
      </w:r>
      <w:r w:rsidR="004C69CD">
        <w:t xml:space="preserve">For comparison, we refer to our supplement </w:t>
      </w:r>
      <w:r w:rsidR="00DD5FE1">
        <w:t xml:space="preserve">tables </w:t>
      </w:r>
      <w:r w:rsidR="004C69CD">
        <w:t xml:space="preserve">which used a BCVA of </w:t>
      </w:r>
      <w:r w:rsidR="004C69CD" w:rsidRPr="00193A60">
        <w:t>≤</w:t>
      </w:r>
      <w:r w:rsidR="004C69CD">
        <w:t xml:space="preserve"> </w:t>
      </w:r>
      <w:r w:rsidR="004C69CD" w:rsidRPr="00193A60">
        <w:t>6/</w:t>
      </w:r>
      <w:r w:rsidR="004C69CD">
        <w:t>60.</w:t>
      </w:r>
      <w:r w:rsidR="004C69CD" w:rsidRPr="00193A60">
        <w:t xml:space="preserve"> </w:t>
      </w:r>
      <w:r w:rsidR="00B75720">
        <w:t>In our study</w:t>
      </w:r>
      <w:r w:rsidR="00C215EF">
        <w:t>,</w:t>
      </w:r>
      <w:r w:rsidR="00B75720">
        <w:t xml:space="preserve"> t</w:t>
      </w:r>
      <w:r w:rsidR="00193A60" w:rsidRPr="00193A60">
        <w:t xml:space="preserve">he prevalence of blindness in the population </w:t>
      </w:r>
      <w:r w:rsidR="00193A60">
        <w:t>40 years of age or more</w:t>
      </w:r>
      <w:r w:rsidR="00193A60" w:rsidRPr="00193A60">
        <w:t xml:space="preserve"> was </w:t>
      </w:r>
      <w:r w:rsidR="000A3BC3">
        <w:t>0.</w:t>
      </w:r>
      <w:r w:rsidR="00904D7B">
        <w:t>63</w:t>
      </w:r>
      <w:r w:rsidR="00193A60" w:rsidRPr="00193A60">
        <w:t>%</w:t>
      </w:r>
      <w:r w:rsidR="004C69CD">
        <w:t xml:space="preserve"> </w:t>
      </w:r>
      <w:r w:rsidR="00904D7B">
        <w:t>for the total of the three regions</w:t>
      </w:r>
      <w:r w:rsidR="00193A60" w:rsidRPr="00193A60">
        <w:t>.</w:t>
      </w:r>
      <w:r w:rsidR="00193A60">
        <w:rPr>
          <w:rFonts w:ascii="Verdana" w:hAnsi="Verdana"/>
          <w:sz w:val="24"/>
          <w:szCs w:val="24"/>
        </w:rPr>
        <w:t xml:space="preserve"> </w:t>
      </w:r>
      <w:r>
        <w:t xml:space="preserve"> </w:t>
      </w:r>
      <w:r w:rsidR="00193A60" w:rsidRPr="00193A60">
        <w:t xml:space="preserve">This number is </w:t>
      </w:r>
      <w:r w:rsidR="000A3BC3">
        <w:t>similar</w:t>
      </w:r>
      <w:r w:rsidR="00193A60" w:rsidRPr="00193A60">
        <w:t xml:space="preserve"> to those of the major population health studies. The Melbourne VIP study</w:t>
      </w:r>
      <w:r w:rsidR="00577577">
        <w:rPr>
          <w:vertAlign w:val="superscript"/>
        </w:rPr>
        <w:t>9</w:t>
      </w:r>
      <w:r w:rsidR="00E74FEE">
        <w:t xml:space="preserve"> and the Beaver Dam Eye Study</w:t>
      </w:r>
      <w:r w:rsidR="00577577">
        <w:rPr>
          <w:vertAlign w:val="superscript"/>
        </w:rPr>
        <w:t>10</w:t>
      </w:r>
      <w:r w:rsidR="000A3BC3">
        <w:t>, for example,</w:t>
      </w:r>
      <w:r w:rsidR="00193A60" w:rsidRPr="00193A60">
        <w:t xml:space="preserve"> </w:t>
      </w:r>
      <w:r w:rsidR="00E74FEE">
        <w:t xml:space="preserve">both </w:t>
      </w:r>
      <w:r w:rsidR="00193A60" w:rsidRPr="00193A60">
        <w:t xml:space="preserve">reported the prevalence of blindness </w:t>
      </w:r>
      <w:r w:rsidR="00E74FEE">
        <w:t xml:space="preserve">at 0.5% </w:t>
      </w:r>
      <w:r w:rsidR="00193A60" w:rsidRPr="00193A60">
        <w:t>using the same criteria</w:t>
      </w:r>
      <w:r w:rsidR="00E74FEE">
        <w:t xml:space="preserve"> for blindness</w:t>
      </w:r>
      <w:r w:rsidR="00193A60" w:rsidRPr="00193A60">
        <w:t xml:space="preserve"> </w:t>
      </w:r>
      <w:r w:rsidR="00E74FEE">
        <w:t xml:space="preserve">and similar age groups. </w:t>
      </w:r>
      <w:r w:rsidR="00193A60" w:rsidRPr="00193A60">
        <w:t>The Western Australia study</w:t>
      </w:r>
      <w:r w:rsidR="001C2988">
        <w:t>,</w:t>
      </w:r>
      <w:r w:rsidR="00E33D82">
        <w:rPr>
          <w:vertAlign w:val="superscript"/>
        </w:rPr>
        <w:t>3</w:t>
      </w:r>
      <w:r w:rsidR="00193A60" w:rsidRPr="00193A60">
        <w:t xml:space="preserve"> the only </w:t>
      </w:r>
      <w:r w:rsidR="005972BE">
        <w:t>one</w:t>
      </w:r>
      <w:r w:rsidR="005972BE" w:rsidRPr="00193A60">
        <w:t xml:space="preserve"> that</w:t>
      </w:r>
      <w:r w:rsidR="00193A60" w:rsidRPr="00193A60">
        <w:t xml:space="preserve"> used capture-recapture method</w:t>
      </w:r>
      <w:r w:rsidR="00C215EF">
        <w:t>s</w:t>
      </w:r>
      <w:r w:rsidR="000A3BC3">
        <w:t>,</w:t>
      </w:r>
      <w:r w:rsidR="00193A60" w:rsidRPr="00193A60">
        <w:t xml:space="preserve"> </w:t>
      </w:r>
      <w:r w:rsidR="00C215EF">
        <w:t>reported</w:t>
      </w:r>
      <w:r w:rsidR="00193A60" w:rsidRPr="00193A60">
        <w:t xml:space="preserve"> a prevalence of blindness of 0.43% for </w:t>
      </w:r>
      <w:r w:rsidR="004C69CD">
        <w:t>people</w:t>
      </w:r>
      <w:r w:rsidR="00193A60" w:rsidRPr="00193A60">
        <w:t xml:space="preserve"> </w:t>
      </w:r>
      <w:r w:rsidR="000A3BC3">
        <w:t xml:space="preserve">aged </w:t>
      </w:r>
      <w:r w:rsidR="00193A60" w:rsidRPr="00193A60">
        <w:t>50 year</w:t>
      </w:r>
      <w:r w:rsidR="000A3BC3">
        <w:t>s and over</w:t>
      </w:r>
      <w:r w:rsidR="002B1E2B">
        <w:t>.</w:t>
      </w:r>
    </w:p>
    <w:p w:rsidR="002D5F60" w:rsidRDefault="00A02175" w:rsidP="004C69CD">
      <w:pPr>
        <w:rPr>
          <w:b/>
        </w:rPr>
      </w:pPr>
      <w:r w:rsidRPr="00A02175">
        <w:rPr>
          <w:b/>
        </w:rPr>
        <w:t>[Insert table 2 here]</w:t>
      </w:r>
    </w:p>
    <w:p w:rsidR="00581DDC" w:rsidRDefault="00581DDC" w:rsidP="00581DDC">
      <w:pPr>
        <w:spacing w:line="276" w:lineRule="auto"/>
      </w:pPr>
      <w:r>
        <w:rPr>
          <w:b/>
        </w:rPr>
        <w:t>T</w:t>
      </w:r>
      <w:r w:rsidRPr="00545079">
        <w:rPr>
          <w:b/>
        </w:rPr>
        <w:t xml:space="preserve">able 2. Summary of </w:t>
      </w:r>
      <w:r>
        <w:rPr>
          <w:b/>
        </w:rPr>
        <w:t>prevalence</w:t>
      </w:r>
      <w:r w:rsidRPr="00545079">
        <w:rPr>
          <w:b/>
        </w:rPr>
        <w:t xml:space="preserve"> studies of blindness.</w:t>
      </w:r>
    </w:p>
    <w:tbl>
      <w:tblPr>
        <w:tblStyle w:val="ListTable6Colorful2"/>
        <w:tblW w:w="8505" w:type="dxa"/>
        <w:tblLayout w:type="fixed"/>
        <w:tblLook w:val="04A0" w:firstRow="1" w:lastRow="0" w:firstColumn="1" w:lastColumn="0" w:noHBand="0" w:noVBand="1"/>
      </w:tblPr>
      <w:tblGrid>
        <w:gridCol w:w="1242"/>
        <w:gridCol w:w="993"/>
        <w:gridCol w:w="737"/>
        <w:gridCol w:w="1134"/>
        <w:gridCol w:w="680"/>
        <w:gridCol w:w="1310"/>
        <w:gridCol w:w="1129"/>
        <w:gridCol w:w="1280"/>
      </w:tblGrid>
      <w:tr w:rsidR="00581DDC" w:rsidTr="00D66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sidRPr="00141ADA">
              <w:rPr>
                <w:sz w:val="18"/>
              </w:rPr>
              <w:t>Study</w:t>
            </w:r>
          </w:p>
        </w:tc>
        <w:tc>
          <w:tcPr>
            <w:tcW w:w="993" w:type="dxa"/>
            <w:shd w:val="clear" w:color="auto" w:fill="auto"/>
          </w:tcPr>
          <w:p w:rsidR="00581DDC" w:rsidRPr="00141ADA" w:rsidRDefault="00581DDC" w:rsidP="00D665B6">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141ADA">
              <w:rPr>
                <w:sz w:val="18"/>
              </w:rPr>
              <w:t>Nation</w:t>
            </w:r>
          </w:p>
        </w:tc>
        <w:tc>
          <w:tcPr>
            <w:tcW w:w="737" w:type="dxa"/>
            <w:shd w:val="clear" w:color="auto" w:fill="auto"/>
          </w:tcPr>
          <w:p w:rsidR="00581DDC" w:rsidRPr="00141ADA" w:rsidRDefault="00581DDC" w:rsidP="00D665B6">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141ADA">
              <w:rPr>
                <w:sz w:val="18"/>
              </w:rPr>
              <w:t>Year</w:t>
            </w:r>
          </w:p>
        </w:tc>
        <w:tc>
          <w:tcPr>
            <w:tcW w:w="1134" w:type="dxa"/>
            <w:shd w:val="clear" w:color="auto" w:fill="auto"/>
          </w:tcPr>
          <w:p w:rsidR="00581DDC" w:rsidRPr="00141ADA" w:rsidRDefault="00581DDC" w:rsidP="00D665B6">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141ADA">
              <w:rPr>
                <w:sz w:val="18"/>
              </w:rPr>
              <w:t>Method</w:t>
            </w:r>
          </w:p>
        </w:tc>
        <w:tc>
          <w:tcPr>
            <w:tcW w:w="680" w:type="dxa"/>
            <w:shd w:val="clear" w:color="auto" w:fill="auto"/>
          </w:tcPr>
          <w:p w:rsidR="00581DDC" w:rsidRPr="00141ADA" w:rsidRDefault="00581DDC" w:rsidP="00D665B6">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i/>
                <w:sz w:val="18"/>
              </w:rPr>
            </w:pPr>
            <w:r w:rsidRPr="00141ADA">
              <w:rPr>
                <w:i/>
                <w:sz w:val="18"/>
              </w:rPr>
              <w:t>N</w:t>
            </w:r>
          </w:p>
        </w:tc>
        <w:tc>
          <w:tcPr>
            <w:tcW w:w="1310" w:type="dxa"/>
            <w:shd w:val="clear" w:color="auto" w:fill="auto"/>
          </w:tcPr>
          <w:p w:rsidR="00581DDC" w:rsidRPr="00141ADA" w:rsidRDefault="00581DDC" w:rsidP="00D665B6">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141ADA">
              <w:rPr>
                <w:sz w:val="18"/>
              </w:rPr>
              <w:t>Definition Blindness</w:t>
            </w:r>
          </w:p>
        </w:tc>
        <w:tc>
          <w:tcPr>
            <w:tcW w:w="1129" w:type="dxa"/>
            <w:shd w:val="clear" w:color="auto" w:fill="auto"/>
          </w:tcPr>
          <w:p w:rsidR="00581DDC" w:rsidRPr="00141ADA" w:rsidRDefault="00581DDC" w:rsidP="00D665B6">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141ADA">
              <w:rPr>
                <w:sz w:val="18"/>
              </w:rPr>
              <w:t>Age</w:t>
            </w:r>
            <w:r>
              <w:rPr>
                <w:sz w:val="18"/>
              </w:rPr>
              <w:t xml:space="preserve">  (years)</w:t>
            </w:r>
          </w:p>
        </w:tc>
        <w:tc>
          <w:tcPr>
            <w:tcW w:w="1280" w:type="dxa"/>
            <w:shd w:val="clear" w:color="auto" w:fill="auto"/>
          </w:tcPr>
          <w:p w:rsidR="00581DDC" w:rsidRPr="00141ADA" w:rsidRDefault="00581DDC" w:rsidP="00D665B6">
            <w:pPr>
              <w:keepNext/>
              <w:keepLines/>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141ADA">
              <w:rPr>
                <w:sz w:val="18"/>
              </w:rPr>
              <w:t>Prev. (%)</w:t>
            </w:r>
          </w:p>
        </w:tc>
      </w:tr>
      <w:tr w:rsidR="00581DDC" w:rsidRPr="002F507C" w:rsidTr="00D6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Pr>
                <w:sz w:val="18"/>
              </w:rPr>
              <w:t>Blue Mountain</w:t>
            </w:r>
            <w:r>
              <w:rPr>
                <w:sz w:val="18"/>
              </w:rPr>
              <w:fldChar w:fldCharType="begin"/>
            </w:r>
            <w:r>
              <w:rPr>
                <w:sz w:val="18"/>
              </w:rPr>
              <w:instrText xml:space="preserve"> ADDIN EN.CITE &lt;EndNote&gt;&lt;Cite&gt;&lt;Author&gt;Attebo&lt;/Author&gt;&lt;Year&gt;1996&lt;/Year&gt;&lt;RecNum&gt;1887&lt;/RecNum&gt;&lt;DisplayText&gt;&lt;style face="superscript"&gt;4&lt;/style&gt;&lt;/DisplayText&gt;&lt;record&gt;&lt;rec-number&gt;1887&lt;/rec-number&gt;&lt;foreign-keys&gt;&lt;key app="EN" db-id="pprz59ezusw2voefax6p2e9uxd5aa9adaxzv" timestamp="1454918515"&gt;1887&lt;/key&gt;&lt;/foreign-keys&gt;&lt;ref-type name="Journal Article"&gt;17&lt;/ref-type&gt;&lt;contributors&gt;&lt;authors&gt;&lt;author&gt;Attebo, Karin&lt;/author&gt;&lt;author&gt;Mitchell, Paul&lt;/author&gt;&lt;author&gt;Smith, Wayne&lt;/author&gt;&lt;/authors&gt;&lt;/contributors&gt;&lt;titles&gt;&lt;title&gt;Visual acuity and the causes of visual loss in Australia: the Blue Mountains Eye Study&lt;/title&gt;&lt;secondary-title&gt;Ophthalmology&lt;/secondary-title&gt;&lt;/titles&gt;&lt;periodical&gt;&lt;full-title&gt;Ophthalmology&lt;/full-title&gt;&lt;abbr-1&gt;Ophthalmology&lt;/abbr-1&gt;&lt;abbr-2&gt;Ophthalmology&lt;/abbr-2&gt;&lt;/periodical&gt;&lt;pages&gt;357-364&lt;/pages&gt;&lt;volume&gt;103&lt;/volume&gt;&lt;number&gt;3&lt;/number&gt;&lt;dates&gt;&lt;year&gt;1996&lt;/year&gt;&lt;/dates&gt;&lt;isbn&gt;0161-6420&lt;/isbn&gt;&lt;urls&gt;&lt;/urls&gt;&lt;/record&gt;&lt;/Cite&gt;&lt;/EndNote&gt;</w:instrText>
            </w:r>
            <w:r>
              <w:rPr>
                <w:sz w:val="18"/>
              </w:rPr>
              <w:fldChar w:fldCharType="separate"/>
            </w:r>
            <w:r w:rsidRPr="0089180A">
              <w:rPr>
                <w:noProof/>
                <w:sz w:val="18"/>
                <w:vertAlign w:val="superscript"/>
              </w:rPr>
              <w:t>4</w:t>
            </w:r>
            <w:r>
              <w:rPr>
                <w:sz w:val="18"/>
              </w:rPr>
              <w:fldChar w:fldCharType="end"/>
            </w:r>
          </w:p>
        </w:tc>
        <w:tc>
          <w:tcPr>
            <w:tcW w:w="993"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Australia</w:t>
            </w:r>
          </w:p>
        </w:tc>
        <w:tc>
          <w:tcPr>
            <w:tcW w:w="737"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1992 - 1994</w:t>
            </w:r>
          </w:p>
        </w:tc>
        <w:tc>
          <w:tcPr>
            <w:tcW w:w="1134"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Survey</w:t>
            </w:r>
          </w:p>
        </w:tc>
        <w:tc>
          <w:tcPr>
            <w:tcW w:w="6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3</w:t>
            </w:r>
            <w:r>
              <w:rPr>
                <w:sz w:val="18"/>
              </w:rPr>
              <w:t>,</w:t>
            </w:r>
            <w:r w:rsidRPr="00141ADA">
              <w:rPr>
                <w:sz w:val="18"/>
              </w:rPr>
              <w:t>647</w:t>
            </w:r>
          </w:p>
        </w:tc>
        <w:tc>
          <w:tcPr>
            <w:tcW w:w="131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 6/60</w:t>
            </w:r>
          </w:p>
        </w:tc>
        <w:tc>
          <w:tcPr>
            <w:tcW w:w="1129"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≥49</w:t>
            </w:r>
          </w:p>
        </w:tc>
        <w:tc>
          <w:tcPr>
            <w:tcW w:w="12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0.7%</w:t>
            </w:r>
          </w:p>
        </w:tc>
      </w:tr>
      <w:tr w:rsidR="00581DDC" w:rsidRPr="002F507C" w:rsidTr="00D665B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Pr>
                <w:sz w:val="18"/>
              </w:rPr>
              <w:t>Melbourne VIP</w:t>
            </w:r>
            <w:r>
              <w:rPr>
                <w:sz w:val="18"/>
              </w:rPr>
              <w:fldChar w:fldCharType="begin"/>
            </w:r>
            <w:r>
              <w:rPr>
                <w:sz w:val="18"/>
              </w:rPr>
              <w:instrText xml:space="preserve"> ADDIN EN.CITE &lt;EndNote&gt;&lt;Cite&gt;&lt;Author&gt;Livingston&lt;/Author&gt;&lt;Year&gt;1994&lt;/Year&gt;&lt;RecNum&gt;1888&lt;/RecNum&gt;&lt;DisplayText&gt;&lt;style face="superscript"&gt;8&lt;/style&gt;&lt;/DisplayText&gt;&lt;record&gt;&lt;rec-number&gt;1888&lt;/rec-number&gt;&lt;foreign-keys&gt;&lt;key app="EN" db-id="pprz59ezusw2voefax6p2e9uxd5aa9adaxzv" timestamp="1454918515"&gt;1888&lt;/key&gt;&lt;/foreign-keys&gt;&lt;ref-type name="Journal Article"&gt;17&lt;/ref-type&gt;&lt;contributors&gt;&lt;authors&gt;&lt;author&gt;Livingston, PM&lt;/author&gt;&lt;author&gt;Carson, CA&lt;/author&gt;&lt;author&gt;Stanislavsky, YL&lt;/author&gt;&lt;author&gt;Lee, SE&lt;/author&gt;&lt;author&gt;Taylor, HR&lt;/author&gt;&lt;/authors&gt;&lt;/contributors&gt;&lt;titles&gt;&lt;title&gt;Methods for a population-based study of eye disease: the Melbourne Visual Impairment Project&lt;/title&gt;&lt;secondary-title&gt;Ophthalmic epidemiology&lt;/secondary-title&gt;&lt;/titles&gt;&lt;periodical&gt;&lt;full-title&gt;Ophthalmic Epidemiology&lt;/full-title&gt;&lt;abbr-1&gt;Ophthalmic Epidemiol.&lt;/abbr-1&gt;&lt;abbr-2&gt;Ophthalmic Epidemiol&lt;/abbr-2&gt;&lt;/periodical&gt;&lt;pages&gt;139-148&lt;/pages&gt;&lt;volume&gt;1&lt;/volume&gt;&lt;number&gt;3&lt;/number&gt;&lt;dates&gt;&lt;year&gt;1994&lt;/year&gt;&lt;/dates&gt;&lt;isbn&gt;0928-6586&lt;/isbn&gt;&lt;urls&gt;&lt;/urls&gt;&lt;/record&gt;&lt;/Cite&gt;&lt;/EndNote&gt;</w:instrText>
            </w:r>
            <w:r>
              <w:rPr>
                <w:sz w:val="18"/>
              </w:rPr>
              <w:fldChar w:fldCharType="separate"/>
            </w:r>
            <w:r w:rsidRPr="0089180A">
              <w:rPr>
                <w:noProof/>
                <w:sz w:val="18"/>
                <w:vertAlign w:val="superscript"/>
              </w:rPr>
              <w:t>8</w:t>
            </w:r>
            <w:r>
              <w:rPr>
                <w:sz w:val="18"/>
              </w:rPr>
              <w:fldChar w:fldCharType="end"/>
            </w:r>
          </w:p>
        </w:tc>
        <w:tc>
          <w:tcPr>
            <w:tcW w:w="993"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Australia</w:t>
            </w:r>
          </w:p>
        </w:tc>
        <w:tc>
          <w:tcPr>
            <w:tcW w:w="737"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1992 - 1996</w:t>
            </w:r>
          </w:p>
        </w:tc>
        <w:tc>
          <w:tcPr>
            <w:tcW w:w="1134"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Survey</w:t>
            </w:r>
          </w:p>
        </w:tc>
        <w:tc>
          <w:tcPr>
            <w:tcW w:w="6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4</w:t>
            </w:r>
            <w:r>
              <w:rPr>
                <w:sz w:val="18"/>
              </w:rPr>
              <w:t>,</w:t>
            </w:r>
            <w:r w:rsidRPr="00141ADA">
              <w:rPr>
                <w:sz w:val="18"/>
              </w:rPr>
              <w:t>734</w:t>
            </w:r>
          </w:p>
        </w:tc>
        <w:tc>
          <w:tcPr>
            <w:tcW w:w="131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 xml:space="preserve"> ≤ 6/60</w:t>
            </w:r>
          </w:p>
        </w:tc>
        <w:tc>
          <w:tcPr>
            <w:tcW w:w="1129"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≥40</w:t>
            </w:r>
          </w:p>
        </w:tc>
        <w:tc>
          <w:tcPr>
            <w:tcW w:w="12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0.5%</w:t>
            </w:r>
          </w:p>
        </w:tc>
      </w:tr>
      <w:tr w:rsidR="00581DDC" w:rsidRPr="002F507C" w:rsidTr="00D6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Pr>
                <w:sz w:val="18"/>
              </w:rPr>
              <w:t>Beaver Dam</w:t>
            </w:r>
            <w:r>
              <w:rPr>
                <w:sz w:val="18"/>
              </w:rPr>
              <w:fldChar w:fldCharType="begin"/>
            </w:r>
            <w:r>
              <w:rPr>
                <w:sz w:val="18"/>
              </w:rPr>
              <w:instrText xml:space="preserve"> ADDIN EN.CITE &lt;EndNote&gt;&lt;Cite&gt;&lt;Author&gt;Klein&lt;/Author&gt;&lt;Year&gt;1992&lt;/Year&gt;&lt;RecNum&gt;1889&lt;/RecNum&gt;&lt;DisplayText&gt;&lt;style face="superscript"&gt;9&lt;/style&gt;&lt;/DisplayText&gt;&lt;record&gt;&lt;rec-number&gt;1889&lt;/rec-number&gt;&lt;foreign-keys&gt;&lt;key app="EN" db-id="pprz59ezusw2voefax6p2e9uxd5aa9adaxzv" timestamp="1454918515"&gt;1889&lt;/key&gt;&lt;/foreign-keys&gt;&lt;ref-type name="Journal Article"&gt;17&lt;/ref-type&gt;&lt;contributors&gt;&lt;authors&gt;&lt;author&gt;Klein, Ronald&lt;/author&gt;&lt;author&gt;Klein, Barbara EK&lt;/author&gt;&lt;author&gt;Linton, Kathryn LP&lt;/author&gt;&lt;/authors&gt;&lt;/contributors&gt;&lt;titles&gt;&lt;title&gt;Prevalence of age-related maculopathy: the Beaver Dam Eye Study&lt;/title&gt;&lt;secondary-title&gt;Ophthalmology&lt;/secondary-title&gt;&lt;/titles&gt;&lt;periodical&gt;&lt;full-title&gt;Ophthalmology&lt;/full-title&gt;&lt;abbr-1&gt;Ophthalmology&lt;/abbr-1&gt;&lt;abbr-2&gt;Ophthalmology&lt;/abbr-2&gt;&lt;/periodical&gt;&lt;pages&gt;933-943&lt;/pages&gt;&lt;volume&gt;99&lt;/volume&gt;&lt;number&gt;6&lt;/number&gt;&lt;dates&gt;&lt;year&gt;1992&lt;/year&gt;&lt;/dates&gt;&lt;isbn&gt;0161-6420&lt;/isbn&gt;&lt;urls&gt;&lt;/urls&gt;&lt;/record&gt;&lt;/Cite&gt;&lt;/EndNote&gt;</w:instrText>
            </w:r>
            <w:r>
              <w:rPr>
                <w:sz w:val="18"/>
              </w:rPr>
              <w:fldChar w:fldCharType="separate"/>
            </w:r>
            <w:r w:rsidRPr="0089180A">
              <w:rPr>
                <w:noProof/>
                <w:sz w:val="18"/>
                <w:vertAlign w:val="superscript"/>
              </w:rPr>
              <w:t>9</w:t>
            </w:r>
            <w:r>
              <w:rPr>
                <w:sz w:val="18"/>
              </w:rPr>
              <w:fldChar w:fldCharType="end"/>
            </w:r>
          </w:p>
        </w:tc>
        <w:tc>
          <w:tcPr>
            <w:tcW w:w="993"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United States</w:t>
            </w:r>
          </w:p>
        </w:tc>
        <w:tc>
          <w:tcPr>
            <w:tcW w:w="737"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1988 - 1990</w:t>
            </w:r>
          </w:p>
        </w:tc>
        <w:tc>
          <w:tcPr>
            <w:tcW w:w="1134"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Survey</w:t>
            </w:r>
          </w:p>
        </w:tc>
        <w:tc>
          <w:tcPr>
            <w:tcW w:w="6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4</w:t>
            </w:r>
            <w:r>
              <w:rPr>
                <w:sz w:val="18"/>
              </w:rPr>
              <w:t>,</w:t>
            </w:r>
            <w:r w:rsidRPr="00141ADA">
              <w:rPr>
                <w:sz w:val="18"/>
              </w:rPr>
              <w:t>897</w:t>
            </w:r>
          </w:p>
        </w:tc>
        <w:tc>
          <w:tcPr>
            <w:tcW w:w="131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 xml:space="preserve"> ≤ 6/60</w:t>
            </w:r>
          </w:p>
        </w:tc>
        <w:tc>
          <w:tcPr>
            <w:tcW w:w="1129"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≥43</w:t>
            </w:r>
          </w:p>
        </w:tc>
        <w:tc>
          <w:tcPr>
            <w:tcW w:w="12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0.5%</w:t>
            </w:r>
          </w:p>
        </w:tc>
      </w:tr>
      <w:tr w:rsidR="00581DDC" w:rsidRPr="002F507C" w:rsidTr="00D665B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Pr>
                <w:sz w:val="18"/>
              </w:rPr>
              <w:t>Baltimore</w:t>
            </w:r>
            <w:r>
              <w:rPr>
                <w:sz w:val="18"/>
              </w:rPr>
              <w:fldChar w:fldCharType="begin"/>
            </w:r>
            <w:r>
              <w:rPr>
                <w:sz w:val="18"/>
              </w:rPr>
              <w:instrText xml:space="preserve"> ADDIN EN.CITE &lt;EndNote&gt;&lt;Cite&gt;&lt;Author&gt;Tielsch&lt;/Author&gt;&lt;Year&gt;1991&lt;/Year&gt;&lt;RecNum&gt;1890&lt;/RecNum&gt;&lt;DisplayText&gt;&lt;style face="superscript"&gt;10&lt;/style&gt;&lt;/DisplayText&gt;&lt;record&gt;&lt;rec-number&gt;1890&lt;/rec-number&gt;&lt;foreign-keys&gt;&lt;key app="EN" db-id="pprz59ezusw2voefax6p2e9uxd5aa9adaxzv" timestamp="1454918515"&gt;1890&lt;/key&gt;&lt;/foreign-keys&gt;&lt;ref-type name="Journal Article"&gt;17&lt;/ref-type&gt;&lt;contributors&gt;&lt;authors&gt;&lt;author&gt;Tielsch, James M&lt;/author&gt;&lt;author&gt;Sommer, Alfred&lt;/author&gt;&lt;author&gt;Katz, Joanne&lt;/author&gt;&lt;author&gt;Royall, Richard M&lt;/author&gt;&lt;author&gt;Quigley, Harry A&lt;/author&gt;&lt;author&gt;Javitt, Jonathan&lt;/author&gt;&lt;/authors&gt;&lt;/contributors&gt;&lt;titles&gt;&lt;title&gt;Racial variations in the prevalence of primary open-angle glaucoma: the Baltimore Eye Survey&lt;/title&gt;&lt;secondary-title&gt;Jama&lt;/secondary-title&gt;&lt;/titles&gt;&lt;periodical&gt;&lt;full-title&gt;JAMA&lt;/full-title&gt;&lt;abbr-1&gt;JAMA&lt;/abbr-1&gt;&lt;abbr-2&gt;JAMA&lt;/abbr-2&gt;&lt;/periodical&gt;&lt;pages&gt;369-374&lt;/pages&gt;&lt;volume&gt;266&lt;/volume&gt;&lt;number&gt;3&lt;/number&gt;&lt;dates&gt;&lt;year&gt;1991&lt;/year&gt;&lt;/dates&gt;&lt;isbn&gt;0098-7484&lt;/isbn&gt;&lt;urls&gt;&lt;/urls&gt;&lt;/record&gt;&lt;/Cite&gt;&lt;/EndNote&gt;</w:instrText>
            </w:r>
            <w:r>
              <w:rPr>
                <w:sz w:val="18"/>
              </w:rPr>
              <w:fldChar w:fldCharType="separate"/>
            </w:r>
            <w:r w:rsidRPr="0089180A">
              <w:rPr>
                <w:noProof/>
                <w:sz w:val="18"/>
                <w:vertAlign w:val="superscript"/>
              </w:rPr>
              <w:t>10</w:t>
            </w:r>
            <w:r>
              <w:rPr>
                <w:sz w:val="18"/>
              </w:rPr>
              <w:fldChar w:fldCharType="end"/>
            </w:r>
          </w:p>
        </w:tc>
        <w:tc>
          <w:tcPr>
            <w:tcW w:w="993"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United States</w:t>
            </w:r>
          </w:p>
        </w:tc>
        <w:tc>
          <w:tcPr>
            <w:tcW w:w="737"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1985 - 1988</w:t>
            </w:r>
          </w:p>
        </w:tc>
        <w:tc>
          <w:tcPr>
            <w:tcW w:w="1134"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Survey</w:t>
            </w:r>
          </w:p>
        </w:tc>
        <w:tc>
          <w:tcPr>
            <w:tcW w:w="6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5</w:t>
            </w:r>
            <w:r>
              <w:rPr>
                <w:sz w:val="18"/>
              </w:rPr>
              <w:t>,</w:t>
            </w:r>
            <w:r w:rsidRPr="00141ADA">
              <w:rPr>
                <w:sz w:val="18"/>
              </w:rPr>
              <w:t>300</w:t>
            </w:r>
          </w:p>
        </w:tc>
        <w:tc>
          <w:tcPr>
            <w:tcW w:w="131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 xml:space="preserve"> ≤ 6/60</w:t>
            </w:r>
          </w:p>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1129"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≥40</w:t>
            </w:r>
          </w:p>
        </w:tc>
        <w:tc>
          <w:tcPr>
            <w:tcW w:w="12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Whites: 0.9%</w:t>
            </w:r>
          </w:p>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Blacks: 1.6%</w:t>
            </w:r>
          </w:p>
        </w:tc>
      </w:tr>
      <w:tr w:rsidR="00581DDC" w:rsidRPr="002F507C" w:rsidTr="00D6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Pr>
                <w:sz w:val="18"/>
              </w:rPr>
              <w:t>Salisbury</w:t>
            </w:r>
            <w:r>
              <w:rPr>
                <w:sz w:val="18"/>
              </w:rPr>
              <w:fldChar w:fldCharType="begin"/>
            </w:r>
            <w:r>
              <w:rPr>
                <w:sz w:val="18"/>
              </w:rPr>
              <w:instrText xml:space="preserve"> ADDIN EN.CITE &lt;EndNote&gt;&lt;Cite&gt;&lt;Author&gt;Munoz&lt;/Author&gt;&lt;Year&gt;2000&lt;/Year&gt;&lt;RecNum&gt;1892&lt;/RecNum&gt;&lt;DisplayText&gt;&lt;style face="superscript"&gt;11&lt;/style&gt;&lt;/DisplayText&gt;&lt;record&gt;&lt;rec-number&gt;1892&lt;/rec-number&gt;&lt;foreign-keys&gt;&lt;key app="EN" db-id="pprz59ezusw2voefax6p2e9uxd5aa9adaxzv" timestamp="1454918515"&gt;1892&lt;/key&gt;&lt;/foreign-keys&gt;&lt;ref-type name="Journal Article"&gt;17&lt;/ref-type&gt;&lt;contributors&gt;&lt;authors&gt;&lt;author&gt;Munoz, Beatriz&lt;/author&gt;&lt;author&gt;West, Sheila K&lt;/author&gt;&lt;author&gt;Rubin, Gary S&lt;/author&gt;&lt;author&gt;Schein, Oliver D&lt;/author&gt;&lt;author&gt;Quigley, Harry A&lt;/author&gt;&lt;author&gt;Bressler, Susan B&lt;/author&gt;&lt;author&gt;Bandeen-Roche, Karen&lt;/author&gt;&lt;/authors&gt;&lt;/contributors&gt;&lt;titles&gt;&lt;title&gt;Causes of blindness and visual impairment in a population of older Americans: The Salisbury Eye Evaluation Study&lt;/title&gt;&lt;secondary-title&gt;Archives of Ophthalmology&lt;/secondary-title&gt;&lt;/titles&gt;&lt;periodical&gt;&lt;full-title&gt;Archives of Ophthalmology&lt;/full-title&gt;&lt;abbr-1&gt;Arch. Ophthalmol.&lt;/abbr-1&gt;&lt;abbr-2&gt;Arch Ophthalmol&lt;/abbr-2&gt;&lt;/periodical&gt;&lt;pages&gt;819-825&lt;/pages&gt;&lt;volume&gt;118&lt;/volume&gt;&lt;number&gt;6&lt;/number&gt;&lt;dates&gt;&lt;year&gt;2000&lt;/year&gt;&lt;/dates&gt;&lt;isbn&gt;0003-9950&lt;/isbn&gt;&lt;urls&gt;&lt;/urls&gt;&lt;/record&gt;&lt;/Cite&gt;&lt;/EndNote&gt;</w:instrText>
            </w:r>
            <w:r>
              <w:rPr>
                <w:sz w:val="18"/>
              </w:rPr>
              <w:fldChar w:fldCharType="separate"/>
            </w:r>
            <w:r w:rsidRPr="0089180A">
              <w:rPr>
                <w:noProof/>
                <w:sz w:val="18"/>
                <w:vertAlign w:val="superscript"/>
              </w:rPr>
              <w:t>11</w:t>
            </w:r>
            <w:r>
              <w:rPr>
                <w:sz w:val="18"/>
              </w:rPr>
              <w:fldChar w:fldCharType="end"/>
            </w:r>
          </w:p>
        </w:tc>
        <w:tc>
          <w:tcPr>
            <w:tcW w:w="993"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United States</w:t>
            </w:r>
          </w:p>
        </w:tc>
        <w:tc>
          <w:tcPr>
            <w:tcW w:w="737"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1997</w:t>
            </w:r>
          </w:p>
        </w:tc>
        <w:tc>
          <w:tcPr>
            <w:tcW w:w="1134"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Survey</w:t>
            </w:r>
          </w:p>
        </w:tc>
        <w:tc>
          <w:tcPr>
            <w:tcW w:w="6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2</w:t>
            </w:r>
            <w:r>
              <w:rPr>
                <w:sz w:val="18"/>
              </w:rPr>
              <w:t>,</w:t>
            </w:r>
            <w:r w:rsidRPr="00141ADA">
              <w:rPr>
                <w:sz w:val="18"/>
              </w:rPr>
              <w:t>520</w:t>
            </w:r>
          </w:p>
        </w:tc>
        <w:tc>
          <w:tcPr>
            <w:tcW w:w="131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 xml:space="preserve"> ≤ 6/60</w:t>
            </w:r>
          </w:p>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p>
        </w:tc>
        <w:tc>
          <w:tcPr>
            <w:tcW w:w="1129"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≥65</w:t>
            </w:r>
          </w:p>
        </w:tc>
        <w:tc>
          <w:tcPr>
            <w:tcW w:w="12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Whites: 0.5%</w:t>
            </w:r>
          </w:p>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Blacks: 1.7%</w:t>
            </w:r>
          </w:p>
        </w:tc>
      </w:tr>
      <w:tr w:rsidR="00581DDC" w:rsidRPr="002F507C" w:rsidTr="00D665B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sidRPr="00141ADA">
              <w:rPr>
                <w:sz w:val="18"/>
              </w:rPr>
              <w:t xml:space="preserve">Rotterdam </w:t>
            </w:r>
            <w:r>
              <w:rPr>
                <w:sz w:val="18"/>
              </w:rPr>
              <w:fldChar w:fldCharType="begin"/>
            </w:r>
            <w:r>
              <w:rPr>
                <w:sz w:val="18"/>
              </w:rPr>
              <w:instrText xml:space="preserve"> ADDIN EN.CITE &lt;EndNote&gt;&lt;Cite&gt;&lt;Author&gt;Klaver&lt;/Author&gt;&lt;Year&gt;1998&lt;/Year&gt;&lt;RecNum&gt;1893&lt;/RecNum&gt;&lt;DisplayText&gt;&lt;style face="superscript"&gt;12&lt;/style&gt;&lt;/DisplayText&gt;&lt;record&gt;&lt;rec-number&gt;1893&lt;/rec-number&gt;&lt;foreign-keys&gt;&lt;key app="EN" db-id="pprz59ezusw2voefax6p2e9uxd5aa9adaxzv" timestamp="1454918515"&gt;1893&lt;/key&gt;&lt;/foreign-keys&gt;&lt;ref-type name="Journal Article"&gt;17&lt;/ref-type&gt;&lt;contributors&gt;&lt;authors&gt;&lt;author&gt;Klaver, Caroline CW&lt;/author&gt;&lt;author&gt;Wolfs, Roger CW&lt;/author&gt;&lt;author&gt;Vingerling, Johannes R&lt;/author&gt;&lt;author&gt;Hofman, Albert&lt;/author&gt;&lt;author&gt;de Jong, Paulus TVM&lt;/author&gt;&lt;/authors&gt;&lt;/contributors&gt;&lt;titles&gt;&lt;title&gt;Age-specific prevalence and causes of blindness and visual impairment in an older population: the Rotterdam Study&lt;/title&gt;&lt;secondary-title&gt;Archives of Ophthalmology&lt;/secondary-title&gt;&lt;/titles&gt;&lt;periodical&gt;&lt;full-title&gt;Archives of Ophthalmology&lt;/full-title&gt;&lt;abbr-1&gt;Arch. Ophthalmol.&lt;/abbr-1&gt;&lt;abbr-2&gt;Arch Ophthalmol&lt;/abbr-2&gt;&lt;/periodical&gt;&lt;pages&gt;653-658&lt;/pages&gt;&lt;volume&gt;116&lt;/volume&gt;&lt;number&gt;5&lt;/number&gt;&lt;dates&gt;&lt;year&gt;1998&lt;/year&gt;&lt;/dates&gt;&lt;isbn&gt;0003-9950&lt;/isbn&gt;&lt;urls&gt;&lt;/urls&gt;&lt;/record&gt;&lt;/Cite&gt;&lt;/EndNote&gt;</w:instrText>
            </w:r>
            <w:r>
              <w:rPr>
                <w:sz w:val="18"/>
              </w:rPr>
              <w:fldChar w:fldCharType="separate"/>
            </w:r>
            <w:r w:rsidRPr="0089180A">
              <w:rPr>
                <w:noProof/>
                <w:sz w:val="18"/>
                <w:vertAlign w:val="superscript"/>
              </w:rPr>
              <w:t>12</w:t>
            </w:r>
            <w:r>
              <w:rPr>
                <w:sz w:val="18"/>
              </w:rPr>
              <w:fldChar w:fldCharType="end"/>
            </w:r>
          </w:p>
        </w:tc>
        <w:tc>
          <w:tcPr>
            <w:tcW w:w="993"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Nether</w:t>
            </w:r>
            <w:r>
              <w:rPr>
                <w:sz w:val="18"/>
              </w:rPr>
              <w:t>-</w:t>
            </w:r>
            <w:r w:rsidRPr="00141ADA">
              <w:rPr>
                <w:sz w:val="18"/>
              </w:rPr>
              <w:t>lands</w:t>
            </w:r>
          </w:p>
        </w:tc>
        <w:tc>
          <w:tcPr>
            <w:tcW w:w="737"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1990 - 1993</w:t>
            </w:r>
          </w:p>
        </w:tc>
        <w:tc>
          <w:tcPr>
            <w:tcW w:w="1134"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Survey</w:t>
            </w:r>
          </w:p>
        </w:tc>
        <w:tc>
          <w:tcPr>
            <w:tcW w:w="6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6</w:t>
            </w:r>
            <w:r>
              <w:rPr>
                <w:sz w:val="18"/>
              </w:rPr>
              <w:t>,</w:t>
            </w:r>
            <w:r w:rsidRPr="00141ADA">
              <w:rPr>
                <w:sz w:val="18"/>
              </w:rPr>
              <w:t>775</w:t>
            </w:r>
          </w:p>
        </w:tc>
        <w:tc>
          <w:tcPr>
            <w:tcW w:w="131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 6/60</w:t>
            </w:r>
          </w:p>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1129"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≥55</w:t>
            </w:r>
          </w:p>
        </w:tc>
        <w:tc>
          <w:tcPr>
            <w:tcW w:w="12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0.75%</w:t>
            </w:r>
          </w:p>
        </w:tc>
      </w:tr>
      <w:tr w:rsidR="00581DDC" w:rsidRPr="002F507C" w:rsidTr="00D6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Pr>
                <w:sz w:val="18"/>
              </w:rPr>
              <w:t>Barbados</w:t>
            </w:r>
            <w:r>
              <w:rPr>
                <w:sz w:val="18"/>
              </w:rPr>
              <w:fldChar w:fldCharType="begin"/>
            </w:r>
            <w:r>
              <w:rPr>
                <w:sz w:val="18"/>
              </w:rPr>
              <w:instrText xml:space="preserve"> ADDIN EN.CITE &lt;EndNote&gt;&lt;Cite&gt;&lt;Author&gt;Hyman&lt;/Author&gt;&lt;Year&gt;2001&lt;/Year&gt;&lt;RecNum&gt;535&lt;/RecNum&gt;&lt;DisplayText&gt;&lt;style face="superscript"&gt;13&lt;/style&gt;&lt;/DisplayText&gt;&lt;record&gt;&lt;rec-number&gt;535&lt;/rec-number&gt;&lt;foreign-keys&gt;&lt;key app="EN" db-id="pettdxt9jpzrzoewd9bxex5pwxrppdzrewat" timestamp="1451953970"&gt;535&lt;/key&gt;&lt;/foreign-keys&gt;&lt;ref-type name="Journal Article"&gt;17&lt;/ref-type&gt;&lt;contributors&gt;&lt;authors&gt;&lt;author&gt;Hyman, Leslie&lt;/author&gt;&lt;author&gt;Wu, Suh-Yuh&lt;/author&gt;&lt;author&gt;Connell, Anthea MS&lt;/author&gt;&lt;author&gt;Schachat, Andrew&lt;/author&gt;&lt;author&gt;Nemesure, Barbara&lt;/author&gt;&lt;author&gt;Hennis, Anselm&lt;/author&gt;&lt;author&gt;Leske, M Cristina&lt;/author&gt;&lt;author&gt;Grimson, Roger&lt;/author&gt;&lt;author&gt;McManmon, Edward P&lt;/author&gt;&lt;author&gt;Cheung, Ho&lt;/author&gt;&lt;/authors&gt;&lt;/contributors&gt;&lt;titles&gt;&lt;title&gt;Prevalence and causes of visual impairment in the Barbados Eye Study&lt;/title&gt;&lt;secondary-title&gt;Ophthalmology&lt;/secondary-title&gt;&lt;/titles&gt;&lt;periodical&gt;&lt;full-title&gt;Ophthalmology&lt;/full-title&gt;&lt;abbr-1&gt;Ophthalmology&lt;/abbr-1&gt;&lt;abbr-2&gt;Ophthalmology&lt;/abbr-2&gt;&lt;/periodical&gt;&lt;pages&gt;1751-1756&lt;/pages&gt;&lt;volume&gt;108&lt;/volume&gt;&lt;number&gt;10&lt;/number&gt;&lt;dates&gt;&lt;year&gt;2001&lt;/year&gt;&lt;/dates&gt;&lt;isbn&gt;0161-6420&lt;/isbn&gt;&lt;urls&gt;&lt;/urls&gt;&lt;/record&gt;&lt;/Cite&gt;&lt;/EndNote&gt;</w:instrText>
            </w:r>
            <w:r>
              <w:rPr>
                <w:sz w:val="18"/>
              </w:rPr>
              <w:fldChar w:fldCharType="separate"/>
            </w:r>
            <w:r w:rsidRPr="0089180A">
              <w:rPr>
                <w:noProof/>
                <w:sz w:val="18"/>
                <w:vertAlign w:val="superscript"/>
              </w:rPr>
              <w:t>13</w:t>
            </w:r>
            <w:r>
              <w:rPr>
                <w:sz w:val="18"/>
              </w:rPr>
              <w:fldChar w:fldCharType="end"/>
            </w:r>
          </w:p>
        </w:tc>
        <w:tc>
          <w:tcPr>
            <w:tcW w:w="993"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Barbados</w:t>
            </w:r>
          </w:p>
        </w:tc>
        <w:tc>
          <w:tcPr>
            <w:tcW w:w="737"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1988 - 1992</w:t>
            </w:r>
          </w:p>
        </w:tc>
        <w:tc>
          <w:tcPr>
            <w:tcW w:w="1134"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Survey</w:t>
            </w:r>
          </w:p>
        </w:tc>
        <w:tc>
          <w:tcPr>
            <w:tcW w:w="6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4</w:t>
            </w:r>
            <w:r>
              <w:rPr>
                <w:sz w:val="18"/>
              </w:rPr>
              <w:t>,</w:t>
            </w:r>
            <w:r w:rsidRPr="00141ADA">
              <w:rPr>
                <w:sz w:val="18"/>
              </w:rPr>
              <w:t>631</w:t>
            </w:r>
          </w:p>
        </w:tc>
        <w:tc>
          <w:tcPr>
            <w:tcW w:w="131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 6/60</w:t>
            </w:r>
          </w:p>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p>
        </w:tc>
        <w:tc>
          <w:tcPr>
            <w:tcW w:w="1129"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≥40</w:t>
            </w:r>
          </w:p>
        </w:tc>
        <w:tc>
          <w:tcPr>
            <w:tcW w:w="12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Black: 3.0%</w:t>
            </w:r>
          </w:p>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Mixed: 2.2%</w:t>
            </w:r>
          </w:p>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White/</w:t>
            </w:r>
            <w:r>
              <w:rPr>
                <w:sz w:val="18"/>
              </w:rPr>
              <w:t xml:space="preserve"> </w:t>
            </w:r>
            <w:r w:rsidRPr="00141ADA">
              <w:rPr>
                <w:sz w:val="18"/>
              </w:rPr>
              <w:t>other: 0.8%</w:t>
            </w:r>
          </w:p>
        </w:tc>
      </w:tr>
      <w:tr w:rsidR="00581DDC" w:rsidRPr="002F507C" w:rsidTr="00D665B6">
        <w:trPr>
          <w:trHeight w:val="851"/>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auto"/>
          </w:tcPr>
          <w:p w:rsidR="00581DDC" w:rsidRPr="00141ADA" w:rsidRDefault="00581DDC" w:rsidP="00D665B6">
            <w:pPr>
              <w:keepNext/>
              <w:keepLines/>
              <w:widowControl w:val="0"/>
              <w:spacing w:line="240" w:lineRule="auto"/>
              <w:rPr>
                <w:sz w:val="18"/>
              </w:rPr>
            </w:pPr>
            <w:r>
              <w:rPr>
                <w:sz w:val="18"/>
              </w:rPr>
              <w:t>West Australia</w:t>
            </w:r>
            <w:r>
              <w:rPr>
                <w:sz w:val="18"/>
              </w:rPr>
              <w:fldChar w:fldCharType="begin"/>
            </w:r>
            <w:r>
              <w:rPr>
                <w:sz w:val="18"/>
              </w:rPr>
              <w:instrText xml:space="preserve"> ADDIN EN.CITE &lt;EndNote&gt;&lt;Cite&gt;&lt;Author&gt;Crewe&lt;/Author&gt;&lt;Year&gt;2012&lt;/Year&gt;&lt;RecNum&gt;1886&lt;/RecNum&gt;&lt;DisplayText&gt;&lt;style face="superscript"&gt;3&lt;/style&gt;&lt;/DisplayText&gt;&lt;record&gt;&lt;rec-number&gt;1886&lt;/rec-number&gt;&lt;foreign-keys&gt;&lt;key app="EN" db-id="pprz59ezusw2voefax6p2e9uxd5aa9adaxzv" timestamp="1454918515"&gt;1886&lt;/key&gt;&lt;/foreign-keys&gt;&lt;ref-type name="Journal Article"&gt;17&lt;/ref-type&gt;&lt;contributors&gt;&lt;authors&gt;&lt;author&gt;Crewe, Julie&lt;/author&gt;&lt;author&gt;Morgan, William H&lt;/author&gt;&lt;author&gt;Morlet, Nigel&lt;/author&gt;&lt;author&gt;Clark, Antony&lt;/author&gt;&lt;author&gt;Lam, Geoffrey&lt;/author&gt;&lt;author&gt;Parsons, Richard&lt;/author&gt;&lt;author&gt;Mukhtar, Aqif&lt;/author&gt;&lt;author&gt;Ng, Jonathon&lt;/author&gt;&lt;author&gt;Crowley, Margaret&lt;/author&gt;&lt;author&gt;Semmens, James&lt;/author&gt;&lt;/authors&gt;&lt;/contributors&gt;&lt;titles&gt;&lt;title&gt;Prevalence of blindness in Western Australia: a population study using capture and recapture techniques&lt;/title&gt;&lt;secondary-title&gt;British Journal of Ophthalmology&lt;/secondary-title&gt;&lt;/titles&gt;&lt;periodical&gt;&lt;full-title&gt;British Journal of Ophthalmology&lt;/full-title&gt;&lt;abbr-1&gt;Br. J. Ophthalmol.&lt;/abbr-1&gt;&lt;abbr-2&gt;Br J Ophthalmol&lt;/abbr-2&gt;&lt;/periodical&gt;&lt;pages&gt;478-481&lt;/pages&gt;&lt;volume&gt;96&lt;/volume&gt;&lt;number&gt;4&lt;/number&gt;&lt;dates&gt;&lt;year&gt;2012&lt;/year&gt;&lt;/dates&gt;&lt;isbn&gt;1468-2079&lt;/isbn&gt;&lt;urls&gt;&lt;/urls&gt;&lt;/record&gt;&lt;/Cite&gt;&lt;/EndNote&gt;</w:instrText>
            </w:r>
            <w:r>
              <w:rPr>
                <w:sz w:val="18"/>
              </w:rPr>
              <w:fldChar w:fldCharType="separate"/>
            </w:r>
            <w:r w:rsidRPr="0089180A">
              <w:rPr>
                <w:noProof/>
                <w:sz w:val="18"/>
                <w:vertAlign w:val="superscript"/>
              </w:rPr>
              <w:t>3</w:t>
            </w:r>
            <w:r>
              <w:rPr>
                <w:sz w:val="18"/>
              </w:rPr>
              <w:fldChar w:fldCharType="end"/>
            </w:r>
          </w:p>
        </w:tc>
        <w:tc>
          <w:tcPr>
            <w:tcW w:w="993" w:type="dxa"/>
            <w:vMerge w:val="restart"/>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West Australia</w:t>
            </w:r>
          </w:p>
        </w:tc>
        <w:tc>
          <w:tcPr>
            <w:tcW w:w="737" w:type="dxa"/>
            <w:vMerge w:val="restart"/>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2012</w:t>
            </w:r>
          </w:p>
        </w:tc>
        <w:tc>
          <w:tcPr>
            <w:tcW w:w="1134" w:type="dxa"/>
            <w:vMerge w:val="restart"/>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Cap./ Recap.</w:t>
            </w:r>
          </w:p>
        </w:tc>
        <w:tc>
          <w:tcPr>
            <w:tcW w:w="680" w:type="dxa"/>
            <w:vMerge w:val="restart"/>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1</w:t>
            </w:r>
            <w:r>
              <w:rPr>
                <w:sz w:val="18"/>
              </w:rPr>
              <w:t>,771 (</w:t>
            </w:r>
            <w:r w:rsidRPr="00141ADA">
              <w:rPr>
                <w:sz w:val="18"/>
              </w:rPr>
              <w:t>3 lists</w:t>
            </w:r>
            <w:r>
              <w:rPr>
                <w:sz w:val="18"/>
              </w:rPr>
              <w:t>)</w:t>
            </w:r>
          </w:p>
        </w:tc>
        <w:tc>
          <w:tcPr>
            <w:tcW w:w="1310" w:type="dxa"/>
            <w:vMerge w:val="restart"/>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 6/60</w:t>
            </w:r>
          </w:p>
        </w:tc>
        <w:tc>
          <w:tcPr>
            <w:tcW w:w="1129"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No restrict</w:t>
            </w:r>
            <w:r>
              <w:rPr>
                <w:sz w:val="18"/>
              </w:rPr>
              <w:t>.</w:t>
            </w:r>
          </w:p>
        </w:tc>
        <w:tc>
          <w:tcPr>
            <w:tcW w:w="12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 xml:space="preserve">0.15% </w:t>
            </w:r>
          </w:p>
        </w:tc>
      </w:tr>
      <w:tr w:rsidR="00581DDC" w:rsidRPr="002F507C" w:rsidTr="00D6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uto"/>
          </w:tcPr>
          <w:p w:rsidR="00581DDC" w:rsidRPr="00141ADA" w:rsidRDefault="00581DDC" w:rsidP="00D665B6">
            <w:pPr>
              <w:keepNext/>
              <w:keepLines/>
              <w:widowControl w:val="0"/>
              <w:spacing w:line="240" w:lineRule="auto"/>
              <w:jc w:val="center"/>
              <w:rPr>
                <w:sz w:val="18"/>
              </w:rPr>
            </w:pPr>
          </w:p>
        </w:tc>
        <w:tc>
          <w:tcPr>
            <w:tcW w:w="993" w:type="dxa"/>
            <w:vMerge/>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p>
        </w:tc>
        <w:tc>
          <w:tcPr>
            <w:tcW w:w="737" w:type="dxa"/>
            <w:vMerge/>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p>
        </w:tc>
        <w:tc>
          <w:tcPr>
            <w:tcW w:w="1134" w:type="dxa"/>
            <w:vMerge/>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p>
        </w:tc>
        <w:tc>
          <w:tcPr>
            <w:tcW w:w="680" w:type="dxa"/>
            <w:vMerge/>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p>
        </w:tc>
        <w:tc>
          <w:tcPr>
            <w:tcW w:w="1310" w:type="dxa"/>
            <w:vMerge/>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p>
        </w:tc>
        <w:tc>
          <w:tcPr>
            <w:tcW w:w="1129"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≥50</w:t>
            </w:r>
          </w:p>
        </w:tc>
        <w:tc>
          <w:tcPr>
            <w:tcW w:w="1280" w:type="dxa"/>
            <w:shd w:val="clear" w:color="auto" w:fill="auto"/>
          </w:tcPr>
          <w:p w:rsidR="00581DDC" w:rsidRPr="00141ADA" w:rsidRDefault="00581DDC" w:rsidP="00D665B6">
            <w:pPr>
              <w:keepNext/>
              <w:keepLines/>
              <w:widowControl w:val="0"/>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141ADA">
              <w:rPr>
                <w:sz w:val="18"/>
              </w:rPr>
              <w:t xml:space="preserve">0.43% </w:t>
            </w:r>
          </w:p>
        </w:tc>
      </w:tr>
      <w:tr w:rsidR="00581DDC" w:rsidRPr="002F507C" w:rsidTr="00D665B6">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581DDC" w:rsidRPr="00141ADA" w:rsidRDefault="00581DDC" w:rsidP="00D665B6">
            <w:pPr>
              <w:keepNext/>
              <w:keepLines/>
              <w:widowControl w:val="0"/>
              <w:spacing w:line="240" w:lineRule="auto"/>
              <w:rPr>
                <w:sz w:val="18"/>
              </w:rPr>
            </w:pPr>
            <w:r>
              <w:rPr>
                <w:sz w:val="18"/>
              </w:rPr>
              <w:t>NZ (Auck)</w:t>
            </w:r>
          </w:p>
        </w:tc>
        <w:tc>
          <w:tcPr>
            <w:tcW w:w="993"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Auckland(NZ)</w:t>
            </w:r>
          </w:p>
        </w:tc>
        <w:tc>
          <w:tcPr>
            <w:tcW w:w="737"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2011 to 2014</w:t>
            </w:r>
          </w:p>
        </w:tc>
        <w:tc>
          <w:tcPr>
            <w:tcW w:w="1134" w:type="dxa"/>
            <w:shd w:val="clear" w:color="auto" w:fill="auto"/>
          </w:tcPr>
          <w:p w:rsidR="00581DDC"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Cap./</w:t>
            </w:r>
          </w:p>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Recap.</w:t>
            </w:r>
          </w:p>
        </w:tc>
        <w:tc>
          <w:tcPr>
            <w:tcW w:w="680"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496 (3 lists)</w:t>
            </w:r>
          </w:p>
        </w:tc>
        <w:tc>
          <w:tcPr>
            <w:tcW w:w="1310" w:type="dxa"/>
            <w:shd w:val="clear" w:color="auto" w:fill="auto"/>
          </w:tcPr>
          <w:p w:rsidR="00581DDC"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 6/</w:t>
            </w:r>
            <w:r>
              <w:rPr>
                <w:sz w:val="18"/>
              </w:rPr>
              <w:t>24</w:t>
            </w:r>
          </w:p>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w:t>
            </w:r>
            <w:r w:rsidRPr="00141ADA">
              <w:rPr>
                <w:sz w:val="18"/>
              </w:rPr>
              <w:t>≤ 6/</w:t>
            </w:r>
            <w:r>
              <w:rPr>
                <w:sz w:val="18"/>
              </w:rPr>
              <w:t>60)</w:t>
            </w:r>
          </w:p>
        </w:tc>
        <w:tc>
          <w:tcPr>
            <w:tcW w:w="1129" w:type="dxa"/>
            <w:shd w:val="clear" w:color="auto" w:fill="auto"/>
          </w:tcPr>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141ADA">
              <w:rPr>
                <w:sz w:val="18"/>
              </w:rPr>
              <w:t>≥</w:t>
            </w:r>
            <w:r>
              <w:rPr>
                <w:sz w:val="18"/>
              </w:rPr>
              <w:t>40</w:t>
            </w:r>
          </w:p>
        </w:tc>
        <w:tc>
          <w:tcPr>
            <w:tcW w:w="1280" w:type="dxa"/>
            <w:shd w:val="clear" w:color="auto" w:fill="auto"/>
          </w:tcPr>
          <w:p w:rsidR="00581DDC"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0.86%</w:t>
            </w:r>
          </w:p>
          <w:p w:rsidR="00581DDC" w:rsidRPr="00141ADA" w:rsidRDefault="00581DDC" w:rsidP="00D665B6">
            <w:pPr>
              <w:keepNext/>
              <w:keepLines/>
              <w:widowControl w:val="0"/>
              <w:spacing w:line="240" w:lineRule="auto"/>
              <w:jc w:val="center"/>
              <w:cnfStyle w:val="000000000000" w:firstRow="0" w:lastRow="0" w:firstColumn="0" w:lastColumn="0" w:oddVBand="0" w:evenVBand="0" w:oddHBand="0" w:evenHBand="0" w:firstRowFirstColumn="0" w:firstRowLastColumn="0" w:lastRowFirstColumn="0" w:lastRowLastColumn="0"/>
              <w:rPr>
                <w:sz w:val="18"/>
              </w:rPr>
            </w:pPr>
            <w:r>
              <w:rPr>
                <w:sz w:val="18"/>
              </w:rPr>
              <w:t>(0.34%)</w:t>
            </w:r>
          </w:p>
        </w:tc>
      </w:tr>
    </w:tbl>
    <w:p w:rsidR="00581DDC" w:rsidRPr="002F507C" w:rsidRDefault="00581DDC" w:rsidP="00581DDC">
      <w:pPr>
        <w:keepNext/>
        <w:keepLines/>
        <w:widowControl w:val="0"/>
        <w:spacing w:line="240" w:lineRule="auto"/>
        <w:rPr>
          <w:sz w:val="20"/>
        </w:rPr>
      </w:pPr>
      <w:r>
        <w:rPr>
          <w:sz w:val="20"/>
        </w:rPr>
        <w:t>B: Blind; Cap: Capture. Recap: recapture.</w:t>
      </w:r>
    </w:p>
    <w:p w:rsidR="00581DDC" w:rsidRDefault="00581DDC" w:rsidP="00581DDC">
      <w:pPr>
        <w:rPr>
          <w:b/>
        </w:rPr>
      </w:pPr>
    </w:p>
    <w:p w:rsidR="00A8133C" w:rsidRDefault="00A8133C" w:rsidP="001959AE">
      <w:r>
        <w:rPr>
          <w:b/>
        </w:rPr>
        <w:t>CONCLUSION:</w:t>
      </w:r>
    </w:p>
    <w:p w:rsidR="003C1338" w:rsidRDefault="003C1338" w:rsidP="001959AE">
      <w:r w:rsidRPr="003C1338">
        <w:t xml:space="preserve">This study </w:t>
      </w:r>
      <w:r w:rsidR="00704956">
        <w:t>is</w:t>
      </w:r>
      <w:r w:rsidRPr="003C1338">
        <w:t xml:space="preserve"> the first t</w:t>
      </w:r>
      <w:r w:rsidR="00704956">
        <w:t>o use capture</w:t>
      </w:r>
      <w:r w:rsidR="001C2988">
        <w:t>-</w:t>
      </w:r>
      <w:r w:rsidR="00704956">
        <w:t>recapture methods</w:t>
      </w:r>
      <w:r w:rsidRPr="003C1338">
        <w:t xml:space="preserve"> for measuring the prevalence of blindness in</w:t>
      </w:r>
      <w:r w:rsidR="00A8133C">
        <w:t xml:space="preserve"> any region in </w:t>
      </w:r>
      <w:r w:rsidRPr="003C1338">
        <w:t xml:space="preserve">New Zealand. </w:t>
      </w:r>
      <w:r w:rsidR="00E74FEE">
        <w:t xml:space="preserve">While the goal of the study was to estimate the number of potential recipients of vision rehabilitation services from the NZBF, it also gives an indication of the </w:t>
      </w:r>
      <w:r w:rsidR="0017015F">
        <w:t xml:space="preserve">overall prevalence of blindness in New Zealand. </w:t>
      </w:r>
      <w:r w:rsidR="00704956">
        <w:t>The results are useful for planning vision health and rehabilitation services in this country. The study was conducted</w:t>
      </w:r>
      <w:r w:rsidRPr="003C1338">
        <w:t xml:space="preserve"> in </w:t>
      </w:r>
      <w:r>
        <w:t xml:space="preserve">a </w:t>
      </w:r>
      <w:r w:rsidRPr="003C1338">
        <w:t>much shorter time frame</w:t>
      </w:r>
      <w:r w:rsidR="00C215EF">
        <w:t>,</w:t>
      </w:r>
      <w:r w:rsidRPr="003C1338">
        <w:t xml:space="preserve"> and at a cost substantially less than that </w:t>
      </w:r>
      <w:r w:rsidR="00686CBC">
        <w:t xml:space="preserve">which would be incurred from </w:t>
      </w:r>
      <w:r w:rsidRPr="003C1338">
        <w:t xml:space="preserve">a population </w:t>
      </w:r>
      <w:r w:rsidR="00686CBC">
        <w:t>survey</w:t>
      </w:r>
      <w:r w:rsidRPr="003C1338">
        <w:t xml:space="preserve">. The results </w:t>
      </w:r>
      <w:r w:rsidR="00704956">
        <w:t>are</w:t>
      </w:r>
      <w:r w:rsidRPr="003C1338">
        <w:t xml:space="preserve"> </w:t>
      </w:r>
      <w:r w:rsidR="00686CBC">
        <w:t>similar</w:t>
      </w:r>
      <w:r w:rsidRPr="003C1338">
        <w:t xml:space="preserve"> to those obtained using population health surveys in other countries, and are an indicator of the potential for using this method for conducting similar surveys in other disease areas in New Zealand where routine health data exists. </w:t>
      </w:r>
    </w:p>
    <w:p w:rsidR="0089180A" w:rsidRDefault="0089180A" w:rsidP="001959AE">
      <w:pPr>
        <w:pStyle w:val="Heading1"/>
      </w:pPr>
      <w:r>
        <w:t>Acknowledgements</w:t>
      </w:r>
    </w:p>
    <w:p w:rsidR="0089180A" w:rsidRDefault="0089180A" w:rsidP="0089180A">
      <w:r>
        <w:t xml:space="preserve">The authors acknowledge the help of </w:t>
      </w:r>
      <w:r w:rsidR="00CD2EB2">
        <w:t>Professor</w:t>
      </w:r>
      <w:r>
        <w:t xml:space="preserve"> Steve Dakin </w:t>
      </w:r>
      <w:r w:rsidR="00CD2EB2">
        <w:t xml:space="preserve">from the University of Auckland </w:t>
      </w:r>
      <w:r>
        <w:t xml:space="preserve">and </w:t>
      </w:r>
      <w:r w:rsidR="00CD2EB2">
        <w:t xml:space="preserve">Dr </w:t>
      </w:r>
      <w:r>
        <w:t xml:space="preserve">Sarah Welch </w:t>
      </w:r>
      <w:r w:rsidR="00CD2EB2">
        <w:t>from Auckland District Health Board for assistance with extracting data for analysis. Ms Julie Crewe from Curtin University, Western Australia, provided helpful comments on drafts of the manuscript.</w:t>
      </w:r>
    </w:p>
    <w:p w:rsidR="003F1E9D" w:rsidRDefault="00FD70DD" w:rsidP="001959AE">
      <w:pPr>
        <w:pStyle w:val="Heading1"/>
      </w:pPr>
      <w:r>
        <w:t>References</w:t>
      </w:r>
      <w:r w:rsidR="0089180A">
        <w:t xml:space="preserve"> </w:t>
      </w:r>
    </w:p>
    <w:p w:rsidR="002D5F60" w:rsidRPr="002D5F60" w:rsidRDefault="00553DC1" w:rsidP="00F33280">
      <w:pPr>
        <w:pStyle w:val="EndNoteBibliography"/>
        <w:spacing w:after="0" w:line="480" w:lineRule="auto"/>
        <w:ind w:left="720" w:hanging="720"/>
      </w:pPr>
      <w:r w:rsidRPr="00E7699C">
        <w:rPr>
          <w:rFonts w:ascii="Verdana" w:hAnsi="Verdana"/>
        </w:rPr>
        <w:fldChar w:fldCharType="begin"/>
      </w:r>
      <w:r w:rsidRPr="00E7699C">
        <w:rPr>
          <w:rFonts w:ascii="Verdana" w:hAnsi="Verdana"/>
        </w:rPr>
        <w:instrText xml:space="preserve"> ADDIN EN.REFLIST </w:instrText>
      </w:r>
      <w:r w:rsidRPr="00E7699C">
        <w:rPr>
          <w:rFonts w:ascii="Verdana" w:hAnsi="Verdana"/>
        </w:rPr>
        <w:fldChar w:fldCharType="separate"/>
      </w:r>
      <w:r w:rsidR="002D5F60" w:rsidRPr="002D5F60">
        <w:t>1. Access Economics Pty Limited. Clear Focus: The economic impact of vision loss in New Zealand in 2009. Auckland: Royal New Zealand Foundation of the Blind, 2009.</w:t>
      </w:r>
    </w:p>
    <w:p w:rsidR="002D5F60" w:rsidRPr="002D5F60" w:rsidRDefault="002D5F60" w:rsidP="00F33280">
      <w:pPr>
        <w:pStyle w:val="EndNoteBibliography"/>
        <w:spacing w:after="0" w:line="480" w:lineRule="auto"/>
        <w:ind w:left="720" w:hanging="720"/>
      </w:pPr>
      <w:r w:rsidRPr="002D5F60">
        <w:t>2. Chao A, Tsay P, Lin SH, et al. The applications of capture</w:t>
      </w:r>
      <w:r w:rsidRPr="002D5F60">
        <w:rPr>
          <w:rFonts w:ascii="Cambria Math" w:hAnsi="Cambria Math" w:cs="Cambria Math"/>
        </w:rPr>
        <w:t>‐</w:t>
      </w:r>
      <w:r w:rsidRPr="002D5F60">
        <w:t xml:space="preserve">recapture models to epidemiological data. </w:t>
      </w:r>
      <w:r w:rsidRPr="002D5F60">
        <w:rPr>
          <w:i/>
        </w:rPr>
        <w:t>Stat Med.</w:t>
      </w:r>
      <w:r w:rsidRPr="002D5F60">
        <w:t xml:space="preserve"> 2001;20(20):3123-3157.</w:t>
      </w:r>
    </w:p>
    <w:p w:rsidR="002D5F60" w:rsidRPr="002D5F60" w:rsidRDefault="002D5F60" w:rsidP="00F33280">
      <w:pPr>
        <w:pStyle w:val="EndNoteBibliography"/>
        <w:spacing w:after="0" w:line="480" w:lineRule="auto"/>
        <w:ind w:left="720" w:hanging="720"/>
      </w:pPr>
      <w:r w:rsidRPr="002D5F60">
        <w:t xml:space="preserve">3. Crewe J, Morgan WH, Morlet N, et al. Prevalence of blindness in Western Australia: a population study using capture and recapture techniques. </w:t>
      </w:r>
      <w:r w:rsidRPr="002D5F60">
        <w:rPr>
          <w:i/>
        </w:rPr>
        <w:t>Br J Ophthalmol.</w:t>
      </w:r>
      <w:r w:rsidRPr="002D5F60">
        <w:t xml:space="preserve"> 2012;96(4):478-481.</w:t>
      </w:r>
    </w:p>
    <w:p w:rsidR="002D5F60" w:rsidRPr="002D5F60" w:rsidRDefault="002D5F60" w:rsidP="00F33280">
      <w:pPr>
        <w:pStyle w:val="EndNoteBibliography"/>
        <w:spacing w:after="0" w:line="480" w:lineRule="auto"/>
        <w:ind w:left="720" w:hanging="720"/>
      </w:pPr>
      <w:r w:rsidRPr="002D5F60">
        <w:t>4. R Development Core Team. R: A language and environment for statistical computing. Vienna: R Foundation for Statistical Computing, 2007.</w:t>
      </w:r>
    </w:p>
    <w:p w:rsidR="002D5F60" w:rsidRPr="002D5F60" w:rsidRDefault="002D5F60" w:rsidP="00F33280">
      <w:pPr>
        <w:pStyle w:val="EndNoteBibliography"/>
        <w:spacing w:after="0" w:line="480" w:lineRule="auto"/>
        <w:ind w:left="720" w:hanging="720"/>
      </w:pPr>
      <w:r w:rsidRPr="002D5F60">
        <w:t xml:space="preserve">5. Marshall RJ. Scaled rectangle diagrams can be used to visualize clinical and epidemiological data. </w:t>
      </w:r>
      <w:r w:rsidRPr="002D5F60">
        <w:rPr>
          <w:i/>
        </w:rPr>
        <w:t>J Clin Epidemiol.</w:t>
      </w:r>
      <w:r w:rsidRPr="002D5F60">
        <w:t xml:space="preserve"> 2005;58(10):974-981.</w:t>
      </w:r>
    </w:p>
    <w:p w:rsidR="002D5F60" w:rsidRPr="002D5F60" w:rsidRDefault="002D5F60" w:rsidP="00F33280">
      <w:pPr>
        <w:pStyle w:val="EndNoteBibliography"/>
        <w:spacing w:after="0" w:line="480" w:lineRule="auto"/>
        <w:ind w:left="720" w:hanging="720"/>
      </w:pPr>
      <w:r w:rsidRPr="002D5F60">
        <w:t xml:space="preserve">6. Baillargeon S, Rivest L-P. Rcapture: Loglinear Models for Capture-Recapture in R. </w:t>
      </w:r>
      <w:r w:rsidRPr="002D5F60">
        <w:rPr>
          <w:i/>
        </w:rPr>
        <w:t>J Stat Softw.</w:t>
      </w:r>
      <w:r w:rsidRPr="002D5F60">
        <w:t xml:space="preserve"> 2007;19(5):1-31.</w:t>
      </w:r>
    </w:p>
    <w:p w:rsidR="002D5F60" w:rsidRPr="002D5F60" w:rsidRDefault="002D5F60" w:rsidP="00F33280">
      <w:pPr>
        <w:pStyle w:val="EndNoteBibliography"/>
        <w:spacing w:after="0" w:line="480" w:lineRule="auto"/>
        <w:ind w:left="720" w:hanging="720"/>
      </w:pPr>
      <w:r w:rsidRPr="002D5F60">
        <w:t>7. Ministry of Health. Diabetes Surveillance: Population-based estimates and projections for New Zealand, 2001-2011. Public Health Intelligence Occasional Bulletin No 46. Wellington: Ministry of Health, 2007.</w:t>
      </w:r>
    </w:p>
    <w:p w:rsidR="002D5F60" w:rsidRPr="002D5F60" w:rsidRDefault="002D5F60" w:rsidP="00F33280">
      <w:pPr>
        <w:pStyle w:val="EndNoteBibliography"/>
        <w:spacing w:after="0" w:line="480" w:lineRule="auto"/>
        <w:ind w:left="720" w:hanging="720"/>
      </w:pPr>
      <w:r w:rsidRPr="002D5F60">
        <w:t xml:space="preserve">8. Attebo K, Mitchell P, Smith W. Visual acuity and the causes of visual loss in Australia: the Blue Mountains Eye Study. </w:t>
      </w:r>
      <w:r w:rsidRPr="002D5F60">
        <w:rPr>
          <w:i/>
        </w:rPr>
        <w:t>Ophthalmology.</w:t>
      </w:r>
      <w:r w:rsidRPr="002D5F60">
        <w:t xml:space="preserve"> 1996;103(3):357-364.</w:t>
      </w:r>
    </w:p>
    <w:p w:rsidR="002D5F60" w:rsidRPr="002D5F60" w:rsidRDefault="002D5F60" w:rsidP="00F33280">
      <w:pPr>
        <w:pStyle w:val="EndNoteBibliography"/>
        <w:spacing w:after="0" w:line="480" w:lineRule="auto"/>
        <w:ind w:left="720" w:hanging="720"/>
      </w:pPr>
      <w:r w:rsidRPr="002D5F60">
        <w:t xml:space="preserve">9. Livingston P, Carson C, Stanislavsky Y, et al. Methods for a population-based study of eye disease: the Melbourne Visual Impairment Project. </w:t>
      </w:r>
      <w:r w:rsidRPr="002D5F60">
        <w:rPr>
          <w:i/>
        </w:rPr>
        <w:t>Ophthalmic Epidemiol.</w:t>
      </w:r>
      <w:r w:rsidRPr="002D5F60">
        <w:t xml:space="preserve"> 1994;1(3):139-148.</w:t>
      </w:r>
    </w:p>
    <w:p w:rsidR="002D5F60" w:rsidRPr="002D5F60" w:rsidRDefault="002D5F60" w:rsidP="00F33280">
      <w:pPr>
        <w:pStyle w:val="EndNoteBibliography"/>
        <w:spacing w:after="0" w:line="480" w:lineRule="auto"/>
        <w:ind w:left="720" w:hanging="720"/>
      </w:pPr>
      <w:r w:rsidRPr="002D5F60">
        <w:t xml:space="preserve">10. Klein R, Klein BE, Linton KL. Prevalence of age-related maculopathy: the Beaver Dam Eye Study. </w:t>
      </w:r>
      <w:r w:rsidRPr="002D5F60">
        <w:rPr>
          <w:i/>
        </w:rPr>
        <w:t>Ophthalmology.</w:t>
      </w:r>
      <w:r w:rsidRPr="002D5F60">
        <w:t xml:space="preserve"> 1992;99(6):933-943.</w:t>
      </w:r>
    </w:p>
    <w:p w:rsidR="002D5F60" w:rsidRPr="002D5F60" w:rsidRDefault="002D5F60" w:rsidP="00F33280">
      <w:pPr>
        <w:pStyle w:val="EndNoteBibliography"/>
        <w:spacing w:after="0" w:line="480" w:lineRule="auto"/>
        <w:ind w:left="720" w:hanging="720"/>
      </w:pPr>
      <w:r w:rsidRPr="002D5F60">
        <w:t xml:space="preserve">11. Tielsch JM, Sommer A, Katz J, et al. Racial variations in the prevalence of primary open-angle glaucoma: the Baltimore Eye Survey. </w:t>
      </w:r>
      <w:r w:rsidRPr="002D5F60">
        <w:rPr>
          <w:i/>
        </w:rPr>
        <w:t>JAMA.</w:t>
      </w:r>
      <w:r w:rsidRPr="002D5F60">
        <w:t xml:space="preserve"> 1991;266(3):369-374.</w:t>
      </w:r>
    </w:p>
    <w:p w:rsidR="002D5F60" w:rsidRPr="002D5F60" w:rsidRDefault="002D5F60" w:rsidP="00F33280">
      <w:pPr>
        <w:pStyle w:val="EndNoteBibliography"/>
        <w:spacing w:after="0" w:line="480" w:lineRule="auto"/>
        <w:ind w:left="720" w:hanging="720"/>
      </w:pPr>
      <w:r w:rsidRPr="002D5F60">
        <w:t xml:space="preserve">12. Munoz B, West SK, Rubin GS, et al. Causes of blindness and visual impairment in a population of older Americans: The Salisbury Eye Evaluation Study. </w:t>
      </w:r>
      <w:r w:rsidRPr="002D5F60">
        <w:rPr>
          <w:i/>
        </w:rPr>
        <w:t>Arch Ophthalmol.</w:t>
      </w:r>
      <w:r w:rsidRPr="002D5F60">
        <w:t xml:space="preserve"> 2000;118(6):819-825.</w:t>
      </w:r>
    </w:p>
    <w:p w:rsidR="002D5F60" w:rsidRPr="002D5F60" w:rsidRDefault="002D5F60" w:rsidP="00F33280">
      <w:pPr>
        <w:pStyle w:val="EndNoteBibliography"/>
        <w:spacing w:after="0" w:line="480" w:lineRule="auto"/>
        <w:ind w:left="720" w:hanging="720"/>
      </w:pPr>
      <w:r w:rsidRPr="002D5F60">
        <w:t xml:space="preserve">13. Klaver CC, Wolfs RC, Vingerling JR, et al. Age-specific prevalence and causes of blindness and visual impairment in an older population: the Rotterdam Study. </w:t>
      </w:r>
      <w:r w:rsidRPr="002D5F60">
        <w:rPr>
          <w:i/>
        </w:rPr>
        <w:t>Arch Ophthalmol.</w:t>
      </w:r>
      <w:r w:rsidRPr="002D5F60">
        <w:t xml:space="preserve"> 1998;116(5):653-658.</w:t>
      </w:r>
    </w:p>
    <w:p w:rsidR="002D5F60" w:rsidRPr="002D5F60" w:rsidRDefault="002D5F60" w:rsidP="00F33280">
      <w:pPr>
        <w:pStyle w:val="EndNoteBibliography"/>
        <w:spacing w:after="0" w:line="480" w:lineRule="auto"/>
        <w:ind w:left="720" w:hanging="720"/>
      </w:pPr>
      <w:r w:rsidRPr="002D5F60">
        <w:t xml:space="preserve">14. Hyman L, Wu S-Y, Connell AM, et al. Prevalence and causes of visual impairment in the Barbados Eye Study. </w:t>
      </w:r>
      <w:r w:rsidRPr="002D5F60">
        <w:rPr>
          <w:i/>
        </w:rPr>
        <w:t>Ophthalmology.</w:t>
      </w:r>
      <w:r w:rsidRPr="002D5F60">
        <w:t xml:space="preserve"> 2001;108(10):1751-1756.</w:t>
      </w:r>
    </w:p>
    <w:p w:rsidR="002D5F60" w:rsidRPr="002D5F60" w:rsidRDefault="002D5F60" w:rsidP="00F33280">
      <w:pPr>
        <w:pStyle w:val="EndNoteBibliography"/>
        <w:spacing w:line="480" w:lineRule="auto"/>
        <w:ind w:left="720" w:hanging="720"/>
      </w:pPr>
      <w:r w:rsidRPr="002D5F60">
        <w:t xml:space="preserve">15. Foreman J, Keel S, Xie J, et al. The National Eye Health Survey 2016. 2016. </w:t>
      </w:r>
      <w:hyperlink r:id="rId8" w:history="1">
        <w:r w:rsidRPr="002D5F60">
          <w:rPr>
            <w:rStyle w:val="Hyperlink"/>
          </w:rPr>
          <w:t>http://www.vision2020australia.org.au/uploads/resource/250/National-Eye-Health-Survey_Full-Report_FINAL.pdf</w:t>
        </w:r>
      </w:hyperlink>
      <w:r w:rsidRPr="002D5F60">
        <w:t>.</w:t>
      </w:r>
    </w:p>
    <w:p w:rsidR="004C5A3F" w:rsidRPr="00F33280" w:rsidRDefault="00553DC1" w:rsidP="00F33280">
      <w:pPr>
        <w:pStyle w:val="EndNoteBibliography"/>
        <w:spacing w:line="480" w:lineRule="auto"/>
        <w:rPr>
          <w:rFonts w:ascii="Verdana" w:hAnsi="Verdana"/>
        </w:rPr>
      </w:pPr>
      <w:r w:rsidRPr="00E7699C">
        <w:rPr>
          <w:rFonts w:ascii="Verdana" w:hAnsi="Verdana"/>
        </w:rPr>
        <w:fldChar w:fldCharType="end"/>
      </w:r>
      <w:r w:rsidR="00F4350E">
        <w:rPr>
          <w:rFonts w:ascii="Verdana" w:hAnsi="Verdana"/>
        </w:rPr>
        <w:t xml:space="preserve"> </w:t>
      </w:r>
    </w:p>
    <w:p w:rsidR="00C616A4" w:rsidRDefault="00C616A4" w:rsidP="00C616A4">
      <w:pPr>
        <w:pStyle w:val="Heading1"/>
      </w:pPr>
    </w:p>
    <w:sectPr w:rsidR="00C616A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AB" w:rsidRDefault="00C569AB" w:rsidP="00A61977">
      <w:pPr>
        <w:spacing w:after="0" w:line="240" w:lineRule="auto"/>
      </w:pPr>
      <w:r>
        <w:separator/>
      </w:r>
    </w:p>
  </w:endnote>
  <w:endnote w:type="continuationSeparator" w:id="0">
    <w:p w:rsidR="00C569AB" w:rsidRDefault="00C569AB" w:rsidP="00A6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914020"/>
      <w:docPartObj>
        <w:docPartGallery w:val="Page Numbers (Bottom of Page)"/>
        <w:docPartUnique/>
      </w:docPartObj>
    </w:sdtPr>
    <w:sdtEndPr>
      <w:rPr>
        <w:noProof/>
      </w:rPr>
    </w:sdtEndPr>
    <w:sdtContent>
      <w:p w:rsidR="000A3BC3" w:rsidRDefault="000A3BC3">
        <w:pPr>
          <w:pStyle w:val="Footer"/>
          <w:jc w:val="center"/>
        </w:pPr>
        <w:r>
          <w:fldChar w:fldCharType="begin"/>
        </w:r>
        <w:r>
          <w:instrText xml:space="preserve"> PAGE   \* MERGEFORMAT </w:instrText>
        </w:r>
        <w:r>
          <w:fldChar w:fldCharType="separate"/>
        </w:r>
        <w:r w:rsidR="000D130D">
          <w:rPr>
            <w:noProof/>
          </w:rPr>
          <w:t>1</w:t>
        </w:r>
        <w:r>
          <w:rPr>
            <w:noProof/>
          </w:rPr>
          <w:fldChar w:fldCharType="end"/>
        </w:r>
      </w:p>
    </w:sdtContent>
  </w:sdt>
  <w:p w:rsidR="000A3BC3" w:rsidRDefault="000A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AB" w:rsidRDefault="00C569AB" w:rsidP="00A61977">
      <w:pPr>
        <w:spacing w:after="0" w:line="240" w:lineRule="auto"/>
      </w:pPr>
      <w:r>
        <w:separator/>
      </w:r>
    </w:p>
  </w:footnote>
  <w:footnote w:type="continuationSeparator" w:id="0">
    <w:p w:rsidR="00C569AB" w:rsidRDefault="00C569AB" w:rsidP="00A61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1B86"/>
    <w:multiLevelType w:val="hybridMultilevel"/>
    <w:tmpl w:val="5308C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2B52C3"/>
    <w:multiLevelType w:val="hybridMultilevel"/>
    <w:tmpl w:val="B352F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9BE2206"/>
    <w:multiLevelType w:val="hybridMultilevel"/>
    <w:tmpl w:val="126C1FE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phthalmic Epidemiology&lt;/Style&gt;&lt;LeftDelim&gt;{&lt;/LeftDelim&gt;&lt;RightDelim&gt;}&lt;/RightDelim&gt;&lt;FontName&gt;Georg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ttdxt9jpzrzoewd9bxex5pwxrppdzrewat&quot;&gt;obesity&lt;record-ids&gt;&lt;item&gt;50&lt;/item&gt;&lt;item&gt;113&lt;/item&gt;&lt;item&gt;528&lt;/item&gt;&lt;item&gt;529&lt;/item&gt;&lt;item&gt;530&lt;/item&gt;&lt;item&gt;531&lt;/item&gt;&lt;item&gt;532&lt;/item&gt;&lt;item&gt;533&lt;/item&gt;&lt;item&gt;534&lt;/item&gt;&lt;item&gt;535&lt;/item&gt;&lt;item&gt;807&lt;/item&gt;&lt;item&gt;2052&lt;/item&gt;&lt;item&gt;2175&lt;/item&gt;&lt;/record-ids&gt;&lt;/item&gt;&lt;/Libraries&gt;"/>
  </w:docVars>
  <w:rsids>
    <w:rsidRoot w:val="005831FA"/>
    <w:rsid w:val="000009E3"/>
    <w:rsid w:val="00013206"/>
    <w:rsid w:val="00016791"/>
    <w:rsid w:val="000276FE"/>
    <w:rsid w:val="00030DF0"/>
    <w:rsid w:val="00031192"/>
    <w:rsid w:val="00050EBE"/>
    <w:rsid w:val="0005310B"/>
    <w:rsid w:val="0005337C"/>
    <w:rsid w:val="000659B3"/>
    <w:rsid w:val="00065ADA"/>
    <w:rsid w:val="00070C6E"/>
    <w:rsid w:val="00093552"/>
    <w:rsid w:val="000A3A48"/>
    <w:rsid w:val="000A3BC3"/>
    <w:rsid w:val="000A45E6"/>
    <w:rsid w:val="000B2482"/>
    <w:rsid w:val="000B48ED"/>
    <w:rsid w:val="000B499A"/>
    <w:rsid w:val="000D130D"/>
    <w:rsid w:val="000D27A3"/>
    <w:rsid w:val="000D3216"/>
    <w:rsid w:val="000E063B"/>
    <w:rsid w:val="000E2C07"/>
    <w:rsid w:val="001054BD"/>
    <w:rsid w:val="00106794"/>
    <w:rsid w:val="00120A47"/>
    <w:rsid w:val="00121B9F"/>
    <w:rsid w:val="00131737"/>
    <w:rsid w:val="00141ADA"/>
    <w:rsid w:val="00143DC4"/>
    <w:rsid w:val="001615CE"/>
    <w:rsid w:val="0017015F"/>
    <w:rsid w:val="001704E6"/>
    <w:rsid w:val="00173CEA"/>
    <w:rsid w:val="00175D1C"/>
    <w:rsid w:val="0018554A"/>
    <w:rsid w:val="00193A60"/>
    <w:rsid w:val="001959AE"/>
    <w:rsid w:val="001972B3"/>
    <w:rsid w:val="001973A4"/>
    <w:rsid w:val="001A5DBA"/>
    <w:rsid w:val="001A6F11"/>
    <w:rsid w:val="001B0F6B"/>
    <w:rsid w:val="001B1F52"/>
    <w:rsid w:val="001B4A86"/>
    <w:rsid w:val="001B5DDB"/>
    <w:rsid w:val="001C03B4"/>
    <w:rsid w:val="001C18E1"/>
    <w:rsid w:val="001C2988"/>
    <w:rsid w:val="001D12B1"/>
    <w:rsid w:val="001F0FCB"/>
    <w:rsid w:val="001F41C5"/>
    <w:rsid w:val="001F4801"/>
    <w:rsid w:val="001F7CDB"/>
    <w:rsid w:val="00204E12"/>
    <w:rsid w:val="0020548B"/>
    <w:rsid w:val="00207A0D"/>
    <w:rsid w:val="00221420"/>
    <w:rsid w:val="00226258"/>
    <w:rsid w:val="00234E91"/>
    <w:rsid w:val="00241FFB"/>
    <w:rsid w:val="0025219C"/>
    <w:rsid w:val="0025288A"/>
    <w:rsid w:val="00253628"/>
    <w:rsid w:val="00253913"/>
    <w:rsid w:val="00254CC0"/>
    <w:rsid w:val="0026204C"/>
    <w:rsid w:val="002624E6"/>
    <w:rsid w:val="00262DB9"/>
    <w:rsid w:val="00263EF5"/>
    <w:rsid w:val="002777A8"/>
    <w:rsid w:val="002842E9"/>
    <w:rsid w:val="00285000"/>
    <w:rsid w:val="00292372"/>
    <w:rsid w:val="002A4C47"/>
    <w:rsid w:val="002B1E2B"/>
    <w:rsid w:val="002B315A"/>
    <w:rsid w:val="002B43A6"/>
    <w:rsid w:val="002B5152"/>
    <w:rsid w:val="002B6F26"/>
    <w:rsid w:val="002C100B"/>
    <w:rsid w:val="002D5F60"/>
    <w:rsid w:val="002E3AD0"/>
    <w:rsid w:val="002E4591"/>
    <w:rsid w:val="002E4D08"/>
    <w:rsid w:val="002F0858"/>
    <w:rsid w:val="002F507C"/>
    <w:rsid w:val="0030066A"/>
    <w:rsid w:val="00311C0F"/>
    <w:rsid w:val="00316685"/>
    <w:rsid w:val="003221CA"/>
    <w:rsid w:val="0032480B"/>
    <w:rsid w:val="00324EB9"/>
    <w:rsid w:val="003463D2"/>
    <w:rsid w:val="00346D69"/>
    <w:rsid w:val="00370BF0"/>
    <w:rsid w:val="00383C7C"/>
    <w:rsid w:val="00392736"/>
    <w:rsid w:val="00393454"/>
    <w:rsid w:val="003A3059"/>
    <w:rsid w:val="003B14F0"/>
    <w:rsid w:val="003C1338"/>
    <w:rsid w:val="003C2F4E"/>
    <w:rsid w:val="003C6439"/>
    <w:rsid w:val="003E03C6"/>
    <w:rsid w:val="003E7257"/>
    <w:rsid w:val="003F1E9D"/>
    <w:rsid w:val="004168AC"/>
    <w:rsid w:val="00427DCB"/>
    <w:rsid w:val="00430F78"/>
    <w:rsid w:val="00444AB8"/>
    <w:rsid w:val="004524BF"/>
    <w:rsid w:val="00452E86"/>
    <w:rsid w:val="004579C1"/>
    <w:rsid w:val="00460FD3"/>
    <w:rsid w:val="00462467"/>
    <w:rsid w:val="00491DB5"/>
    <w:rsid w:val="00496488"/>
    <w:rsid w:val="004B26FA"/>
    <w:rsid w:val="004B3D76"/>
    <w:rsid w:val="004B4C10"/>
    <w:rsid w:val="004C5825"/>
    <w:rsid w:val="004C59CD"/>
    <w:rsid w:val="004C5A3F"/>
    <w:rsid w:val="004C5C78"/>
    <w:rsid w:val="004C69CD"/>
    <w:rsid w:val="004D71F8"/>
    <w:rsid w:val="004E5A43"/>
    <w:rsid w:val="004E6AA5"/>
    <w:rsid w:val="004F0F2F"/>
    <w:rsid w:val="0050303A"/>
    <w:rsid w:val="0050639F"/>
    <w:rsid w:val="00512ED2"/>
    <w:rsid w:val="00513750"/>
    <w:rsid w:val="00515E15"/>
    <w:rsid w:val="00522A25"/>
    <w:rsid w:val="00530E69"/>
    <w:rsid w:val="00533A74"/>
    <w:rsid w:val="00545079"/>
    <w:rsid w:val="00547396"/>
    <w:rsid w:val="005503FE"/>
    <w:rsid w:val="00551D78"/>
    <w:rsid w:val="00552B7D"/>
    <w:rsid w:val="00553DC1"/>
    <w:rsid w:val="00555ADD"/>
    <w:rsid w:val="005758D4"/>
    <w:rsid w:val="00577577"/>
    <w:rsid w:val="00581DDC"/>
    <w:rsid w:val="005831FA"/>
    <w:rsid w:val="005870B8"/>
    <w:rsid w:val="00592ADC"/>
    <w:rsid w:val="005966DE"/>
    <w:rsid w:val="005972BE"/>
    <w:rsid w:val="005A4AF1"/>
    <w:rsid w:val="005A6051"/>
    <w:rsid w:val="005A652F"/>
    <w:rsid w:val="005B7ECE"/>
    <w:rsid w:val="005C050A"/>
    <w:rsid w:val="005C1B55"/>
    <w:rsid w:val="005C292A"/>
    <w:rsid w:val="005C4A66"/>
    <w:rsid w:val="005D1EB5"/>
    <w:rsid w:val="005D4A67"/>
    <w:rsid w:val="005D699F"/>
    <w:rsid w:val="005D741C"/>
    <w:rsid w:val="005E7C63"/>
    <w:rsid w:val="005F7DDE"/>
    <w:rsid w:val="00602914"/>
    <w:rsid w:val="00603AB8"/>
    <w:rsid w:val="00612EDD"/>
    <w:rsid w:val="006161EA"/>
    <w:rsid w:val="00621891"/>
    <w:rsid w:val="0062419E"/>
    <w:rsid w:val="006261C8"/>
    <w:rsid w:val="006273AB"/>
    <w:rsid w:val="0063081F"/>
    <w:rsid w:val="00632460"/>
    <w:rsid w:val="0063457D"/>
    <w:rsid w:val="0063689C"/>
    <w:rsid w:val="00640B25"/>
    <w:rsid w:val="00642259"/>
    <w:rsid w:val="00644A49"/>
    <w:rsid w:val="006469C5"/>
    <w:rsid w:val="00652C8C"/>
    <w:rsid w:val="0065751A"/>
    <w:rsid w:val="006625CE"/>
    <w:rsid w:val="00665207"/>
    <w:rsid w:val="00674326"/>
    <w:rsid w:val="00682164"/>
    <w:rsid w:val="00686CBC"/>
    <w:rsid w:val="006C211D"/>
    <w:rsid w:val="006E1336"/>
    <w:rsid w:val="006F011A"/>
    <w:rsid w:val="006F3561"/>
    <w:rsid w:val="00704956"/>
    <w:rsid w:val="007139F9"/>
    <w:rsid w:val="0071472D"/>
    <w:rsid w:val="00714FCB"/>
    <w:rsid w:val="0072361F"/>
    <w:rsid w:val="0073053C"/>
    <w:rsid w:val="007503A8"/>
    <w:rsid w:val="0075552C"/>
    <w:rsid w:val="0077168E"/>
    <w:rsid w:val="00773263"/>
    <w:rsid w:val="0077776F"/>
    <w:rsid w:val="00785462"/>
    <w:rsid w:val="0079303C"/>
    <w:rsid w:val="00796782"/>
    <w:rsid w:val="007A35E5"/>
    <w:rsid w:val="007B43AC"/>
    <w:rsid w:val="007C575D"/>
    <w:rsid w:val="007D1B61"/>
    <w:rsid w:val="007D680D"/>
    <w:rsid w:val="007D7508"/>
    <w:rsid w:val="007D797D"/>
    <w:rsid w:val="007E1FC8"/>
    <w:rsid w:val="007E2F69"/>
    <w:rsid w:val="007E725E"/>
    <w:rsid w:val="007F2C9D"/>
    <w:rsid w:val="007F6164"/>
    <w:rsid w:val="0081303C"/>
    <w:rsid w:val="008435DB"/>
    <w:rsid w:val="008462D6"/>
    <w:rsid w:val="0085417F"/>
    <w:rsid w:val="00854C7C"/>
    <w:rsid w:val="00855B25"/>
    <w:rsid w:val="00862545"/>
    <w:rsid w:val="00882DF0"/>
    <w:rsid w:val="00885D96"/>
    <w:rsid w:val="008869D3"/>
    <w:rsid w:val="0089180A"/>
    <w:rsid w:val="00893CD0"/>
    <w:rsid w:val="008A660E"/>
    <w:rsid w:val="008C66FE"/>
    <w:rsid w:val="008D37E2"/>
    <w:rsid w:val="008E095F"/>
    <w:rsid w:val="008F5572"/>
    <w:rsid w:val="008F6667"/>
    <w:rsid w:val="008F7A0B"/>
    <w:rsid w:val="00904D7B"/>
    <w:rsid w:val="00907BF7"/>
    <w:rsid w:val="00911F5F"/>
    <w:rsid w:val="0092716A"/>
    <w:rsid w:val="00935414"/>
    <w:rsid w:val="00937D4C"/>
    <w:rsid w:val="009440A4"/>
    <w:rsid w:val="0095475C"/>
    <w:rsid w:val="009614CE"/>
    <w:rsid w:val="00966AA1"/>
    <w:rsid w:val="00981044"/>
    <w:rsid w:val="00993B99"/>
    <w:rsid w:val="00997DBA"/>
    <w:rsid w:val="009A3151"/>
    <w:rsid w:val="009A3170"/>
    <w:rsid w:val="009A53B6"/>
    <w:rsid w:val="009C1D3F"/>
    <w:rsid w:val="009C37BF"/>
    <w:rsid w:val="009C6C9D"/>
    <w:rsid w:val="009C7DF1"/>
    <w:rsid w:val="009D49F9"/>
    <w:rsid w:val="009E089E"/>
    <w:rsid w:val="009F2905"/>
    <w:rsid w:val="009F2F59"/>
    <w:rsid w:val="009F678C"/>
    <w:rsid w:val="00A02175"/>
    <w:rsid w:val="00A10D10"/>
    <w:rsid w:val="00A13C38"/>
    <w:rsid w:val="00A14306"/>
    <w:rsid w:val="00A27C7B"/>
    <w:rsid w:val="00A331ED"/>
    <w:rsid w:val="00A522B5"/>
    <w:rsid w:val="00A52974"/>
    <w:rsid w:val="00A52AF9"/>
    <w:rsid w:val="00A571D0"/>
    <w:rsid w:val="00A61977"/>
    <w:rsid w:val="00A71FD5"/>
    <w:rsid w:val="00A8133C"/>
    <w:rsid w:val="00A85EDA"/>
    <w:rsid w:val="00AA016A"/>
    <w:rsid w:val="00AA1147"/>
    <w:rsid w:val="00AB5620"/>
    <w:rsid w:val="00AB75A0"/>
    <w:rsid w:val="00AC7D85"/>
    <w:rsid w:val="00AE6D3C"/>
    <w:rsid w:val="00B10EC9"/>
    <w:rsid w:val="00B11245"/>
    <w:rsid w:val="00B164C2"/>
    <w:rsid w:val="00B31604"/>
    <w:rsid w:val="00B44CC9"/>
    <w:rsid w:val="00B451DD"/>
    <w:rsid w:val="00B50086"/>
    <w:rsid w:val="00B5574D"/>
    <w:rsid w:val="00B561DE"/>
    <w:rsid w:val="00B636F2"/>
    <w:rsid w:val="00B66E97"/>
    <w:rsid w:val="00B67A50"/>
    <w:rsid w:val="00B7456D"/>
    <w:rsid w:val="00B75720"/>
    <w:rsid w:val="00B80D2F"/>
    <w:rsid w:val="00B854A9"/>
    <w:rsid w:val="00B94727"/>
    <w:rsid w:val="00B96F25"/>
    <w:rsid w:val="00BB0330"/>
    <w:rsid w:val="00BB08C6"/>
    <w:rsid w:val="00BC3F94"/>
    <w:rsid w:val="00BC429F"/>
    <w:rsid w:val="00BC5A82"/>
    <w:rsid w:val="00BD58F6"/>
    <w:rsid w:val="00BF0160"/>
    <w:rsid w:val="00BF299B"/>
    <w:rsid w:val="00BF7B5C"/>
    <w:rsid w:val="00C041DC"/>
    <w:rsid w:val="00C10C83"/>
    <w:rsid w:val="00C121E8"/>
    <w:rsid w:val="00C2018D"/>
    <w:rsid w:val="00C215EF"/>
    <w:rsid w:val="00C22FAD"/>
    <w:rsid w:val="00C30C34"/>
    <w:rsid w:val="00C35583"/>
    <w:rsid w:val="00C40AF7"/>
    <w:rsid w:val="00C40F99"/>
    <w:rsid w:val="00C4292F"/>
    <w:rsid w:val="00C510A8"/>
    <w:rsid w:val="00C53182"/>
    <w:rsid w:val="00C569AB"/>
    <w:rsid w:val="00C616A4"/>
    <w:rsid w:val="00C627F9"/>
    <w:rsid w:val="00C67A72"/>
    <w:rsid w:val="00C84B12"/>
    <w:rsid w:val="00C942A3"/>
    <w:rsid w:val="00C94D2A"/>
    <w:rsid w:val="00C95CAB"/>
    <w:rsid w:val="00CA01A3"/>
    <w:rsid w:val="00CB775F"/>
    <w:rsid w:val="00CC2121"/>
    <w:rsid w:val="00CC2E8E"/>
    <w:rsid w:val="00CD2EB2"/>
    <w:rsid w:val="00CE06D4"/>
    <w:rsid w:val="00CE492C"/>
    <w:rsid w:val="00CF231D"/>
    <w:rsid w:val="00D04905"/>
    <w:rsid w:val="00D250E4"/>
    <w:rsid w:val="00D263E1"/>
    <w:rsid w:val="00D41056"/>
    <w:rsid w:val="00D47E8D"/>
    <w:rsid w:val="00D510E7"/>
    <w:rsid w:val="00D53AA7"/>
    <w:rsid w:val="00D545AE"/>
    <w:rsid w:val="00D54696"/>
    <w:rsid w:val="00D60EB2"/>
    <w:rsid w:val="00D718C6"/>
    <w:rsid w:val="00D727FA"/>
    <w:rsid w:val="00D97099"/>
    <w:rsid w:val="00DA22E1"/>
    <w:rsid w:val="00DA245F"/>
    <w:rsid w:val="00DB36AD"/>
    <w:rsid w:val="00DD27BF"/>
    <w:rsid w:val="00DD5FE1"/>
    <w:rsid w:val="00DE3FC7"/>
    <w:rsid w:val="00DF4C5C"/>
    <w:rsid w:val="00E0124C"/>
    <w:rsid w:val="00E026BC"/>
    <w:rsid w:val="00E12528"/>
    <w:rsid w:val="00E15104"/>
    <w:rsid w:val="00E20ABE"/>
    <w:rsid w:val="00E2183F"/>
    <w:rsid w:val="00E23E17"/>
    <w:rsid w:val="00E322C9"/>
    <w:rsid w:val="00E33D82"/>
    <w:rsid w:val="00E35A28"/>
    <w:rsid w:val="00E37415"/>
    <w:rsid w:val="00E5264B"/>
    <w:rsid w:val="00E5349E"/>
    <w:rsid w:val="00E568F7"/>
    <w:rsid w:val="00E74FEE"/>
    <w:rsid w:val="00E77FC0"/>
    <w:rsid w:val="00E934F4"/>
    <w:rsid w:val="00EA7404"/>
    <w:rsid w:val="00EB3624"/>
    <w:rsid w:val="00EB3BB3"/>
    <w:rsid w:val="00EB5693"/>
    <w:rsid w:val="00EC453B"/>
    <w:rsid w:val="00EC6BFF"/>
    <w:rsid w:val="00EC7011"/>
    <w:rsid w:val="00ED4BB9"/>
    <w:rsid w:val="00ED63CB"/>
    <w:rsid w:val="00EE6227"/>
    <w:rsid w:val="00F27C57"/>
    <w:rsid w:val="00F33280"/>
    <w:rsid w:val="00F4350E"/>
    <w:rsid w:val="00F5128A"/>
    <w:rsid w:val="00F57FDE"/>
    <w:rsid w:val="00F66E86"/>
    <w:rsid w:val="00F75B99"/>
    <w:rsid w:val="00F832BE"/>
    <w:rsid w:val="00F91659"/>
    <w:rsid w:val="00F9257C"/>
    <w:rsid w:val="00F96437"/>
    <w:rsid w:val="00FA5AD6"/>
    <w:rsid w:val="00FB415D"/>
    <w:rsid w:val="00FB5016"/>
    <w:rsid w:val="00FC28CE"/>
    <w:rsid w:val="00FD39B6"/>
    <w:rsid w:val="00FD70DD"/>
    <w:rsid w:val="00FF4E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BA63"/>
  <w15:docId w15:val="{4B771994-D42E-43B7-9440-774FA50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2F"/>
    <w:pPr>
      <w:spacing w:line="480" w:lineRule="auto"/>
    </w:pPr>
    <w:rPr>
      <w:rFonts w:ascii="Georgia" w:hAnsi="Georgia"/>
    </w:rPr>
  </w:style>
  <w:style w:type="paragraph" w:styleId="Heading1">
    <w:name w:val="heading 1"/>
    <w:basedOn w:val="Normal"/>
    <w:next w:val="Normal"/>
    <w:link w:val="Heading1Char"/>
    <w:uiPriority w:val="9"/>
    <w:qFormat/>
    <w:rsid w:val="001959AE"/>
    <w:pPr>
      <w:keepNext/>
      <w:keepLines/>
      <w:spacing w:before="480" w:after="0"/>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1959AE"/>
    <w:pPr>
      <w:keepNext/>
      <w:keepLines/>
      <w:spacing w:before="200" w:after="0"/>
      <w:outlineLvl w:val="1"/>
    </w:pPr>
    <w:rPr>
      <w:rFonts w:eastAsiaTheme="majorEastAsia" w:cstheme="majorBidi"/>
      <w:bCs/>
      <w:caps/>
      <w:szCs w:val="26"/>
    </w:rPr>
  </w:style>
  <w:style w:type="paragraph" w:styleId="Heading3">
    <w:name w:val="heading 3"/>
    <w:basedOn w:val="Normal"/>
    <w:next w:val="Normal"/>
    <w:link w:val="Heading3Char"/>
    <w:uiPriority w:val="9"/>
    <w:unhideWhenUsed/>
    <w:qFormat/>
    <w:rsid w:val="001959AE"/>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9AE"/>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1959AE"/>
    <w:rPr>
      <w:rFonts w:ascii="Georgia" w:eastAsiaTheme="majorEastAsia" w:hAnsi="Georgia" w:cstheme="majorBidi"/>
      <w:bCs/>
      <w:caps/>
      <w:szCs w:val="26"/>
    </w:rPr>
  </w:style>
  <w:style w:type="paragraph" w:styleId="ListParagraph">
    <w:name w:val="List Paragraph"/>
    <w:basedOn w:val="Normal"/>
    <w:uiPriority w:val="34"/>
    <w:qFormat/>
    <w:rsid w:val="00254CC0"/>
    <w:pPr>
      <w:spacing w:after="160" w:line="259" w:lineRule="auto"/>
      <w:ind w:left="720"/>
      <w:contextualSpacing/>
    </w:pPr>
    <w:rPr>
      <w:rFonts w:asciiTheme="minorHAnsi" w:hAnsiTheme="minorHAnsi"/>
    </w:rPr>
  </w:style>
  <w:style w:type="table" w:styleId="LightShading">
    <w:name w:val="Light Shading"/>
    <w:basedOn w:val="TableNormal"/>
    <w:uiPriority w:val="60"/>
    <w:rsid w:val="00254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5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C0"/>
    <w:rPr>
      <w:rFonts w:ascii="Tahoma" w:hAnsi="Tahoma" w:cs="Tahoma"/>
      <w:sz w:val="16"/>
      <w:szCs w:val="16"/>
    </w:rPr>
  </w:style>
  <w:style w:type="table" w:customStyle="1" w:styleId="ListTable6Colorful1">
    <w:name w:val="List Table 6 Colorful1"/>
    <w:basedOn w:val="TableNormal"/>
    <w:uiPriority w:val="51"/>
    <w:rsid w:val="00254CC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1959AE"/>
    <w:rPr>
      <w:rFonts w:ascii="Georgia" w:eastAsiaTheme="majorEastAsia" w:hAnsi="Georgia" w:cstheme="majorBidi"/>
      <w:b/>
      <w:bCs/>
    </w:rPr>
  </w:style>
  <w:style w:type="paragraph" w:styleId="Header">
    <w:name w:val="header"/>
    <w:basedOn w:val="Normal"/>
    <w:link w:val="HeaderChar"/>
    <w:uiPriority w:val="99"/>
    <w:unhideWhenUsed/>
    <w:rsid w:val="00A6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77"/>
    <w:rPr>
      <w:rFonts w:ascii="Georgia" w:hAnsi="Georgia"/>
    </w:rPr>
  </w:style>
  <w:style w:type="paragraph" w:styleId="Footer">
    <w:name w:val="footer"/>
    <w:basedOn w:val="Normal"/>
    <w:link w:val="FooterChar"/>
    <w:uiPriority w:val="99"/>
    <w:unhideWhenUsed/>
    <w:rsid w:val="00A6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77"/>
    <w:rPr>
      <w:rFonts w:ascii="Georgia" w:hAnsi="Georgia"/>
    </w:rPr>
  </w:style>
  <w:style w:type="character" w:styleId="CommentReference">
    <w:name w:val="annotation reference"/>
    <w:basedOn w:val="DefaultParagraphFont"/>
    <w:uiPriority w:val="99"/>
    <w:semiHidden/>
    <w:unhideWhenUsed/>
    <w:rsid w:val="008F5572"/>
    <w:rPr>
      <w:sz w:val="16"/>
      <w:szCs w:val="16"/>
    </w:rPr>
  </w:style>
  <w:style w:type="paragraph" w:styleId="CommentText">
    <w:name w:val="annotation text"/>
    <w:basedOn w:val="Normal"/>
    <w:link w:val="CommentTextChar"/>
    <w:uiPriority w:val="99"/>
    <w:semiHidden/>
    <w:unhideWhenUsed/>
    <w:rsid w:val="008F5572"/>
    <w:pPr>
      <w:spacing w:line="240" w:lineRule="auto"/>
    </w:pPr>
    <w:rPr>
      <w:sz w:val="20"/>
      <w:szCs w:val="20"/>
    </w:rPr>
  </w:style>
  <w:style w:type="character" w:customStyle="1" w:styleId="CommentTextChar">
    <w:name w:val="Comment Text Char"/>
    <w:basedOn w:val="DefaultParagraphFont"/>
    <w:link w:val="CommentText"/>
    <w:uiPriority w:val="99"/>
    <w:semiHidden/>
    <w:rsid w:val="008F557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F5572"/>
    <w:rPr>
      <w:b/>
      <w:bCs/>
    </w:rPr>
  </w:style>
  <w:style w:type="character" w:customStyle="1" w:styleId="CommentSubjectChar">
    <w:name w:val="Comment Subject Char"/>
    <w:basedOn w:val="CommentTextChar"/>
    <w:link w:val="CommentSubject"/>
    <w:uiPriority w:val="99"/>
    <w:semiHidden/>
    <w:rsid w:val="008F5572"/>
    <w:rPr>
      <w:rFonts w:ascii="Georgia" w:hAnsi="Georgia"/>
      <w:b/>
      <w:bCs/>
      <w:sz w:val="20"/>
      <w:szCs w:val="20"/>
    </w:rPr>
  </w:style>
  <w:style w:type="table" w:styleId="TableGrid">
    <w:name w:val="Table Grid"/>
    <w:basedOn w:val="TableNormal"/>
    <w:uiPriority w:val="59"/>
    <w:rsid w:val="00FB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F1E9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F1E9D"/>
    <w:rPr>
      <w:rFonts w:ascii="Georgia" w:hAnsi="Georgia"/>
      <w:noProof/>
      <w:lang w:val="en-US"/>
    </w:rPr>
  </w:style>
  <w:style w:type="paragraph" w:customStyle="1" w:styleId="EndNoteBibliography">
    <w:name w:val="EndNote Bibliography"/>
    <w:basedOn w:val="Normal"/>
    <w:link w:val="EndNoteBibliographyChar"/>
    <w:rsid w:val="003F1E9D"/>
    <w:pPr>
      <w:spacing w:line="240" w:lineRule="auto"/>
    </w:pPr>
    <w:rPr>
      <w:noProof/>
      <w:lang w:val="en-US"/>
    </w:rPr>
  </w:style>
  <w:style w:type="character" w:customStyle="1" w:styleId="EndNoteBibliographyChar">
    <w:name w:val="EndNote Bibliography Char"/>
    <w:basedOn w:val="DefaultParagraphFont"/>
    <w:link w:val="EndNoteBibliography"/>
    <w:rsid w:val="003F1E9D"/>
    <w:rPr>
      <w:rFonts w:ascii="Georgia" w:hAnsi="Georgia"/>
      <w:noProof/>
      <w:lang w:val="en-US"/>
    </w:rPr>
  </w:style>
  <w:style w:type="character" w:styleId="PlaceholderText">
    <w:name w:val="Placeholder Text"/>
    <w:basedOn w:val="DefaultParagraphFont"/>
    <w:uiPriority w:val="99"/>
    <w:semiHidden/>
    <w:rsid w:val="00427DCB"/>
    <w:rPr>
      <w:color w:val="808080"/>
    </w:rPr>
  </w:style>
  <w:style w:type="table" w:customStyle="1" w:styleId="ListTable21">
    <w:name w:val="List Table 21"/>
    <w:basedOn w:val="TableNormal"/>
    <w:uiPriority w:val="47"/>
    <w:rsid w:val="00141AD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
    <w:name w:val="List Table 6 Colorful2"/>
    <w:basedOn w:val="TableNormal"/>
    <w:uiPriority w:val="51"/>
    <w:rsid w:val="00141AD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9257C"/>
    <w:rPr>
      <w:color w:val="0000FF" w:themeColor="hyperlink"/>
      <w:u w:val="single"/>
    </w:rPr>
  </w:style>
  <w:style w:type="paragraph" w:styleId="NormalWeb">
    <w:name w:val="Normal (Web)"/>
    <w:basedOn w:val="Normal"/>
    <w:uiPriority w:val="99"/>
    <w:semiHidden/>
    <w:unhideWhenUsed/>
    <w:rsid w:val="00A27C7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6469C5"/>
    <w:pPr>
      <w:spacing w:after="0" w:line="240" w:lineRule="auto"/>
    </w:pPr>
    <w:rPr>
      <w:rFonts w:ascii="Georgia" w:hAnsi="Georgia"/>
    </w:rPr>
  </w:style>
  <w:style w:type="character" w:styleId="FollowedHyperlink">
    <w:name w:val="FollowedHyperlink"/>
    <w:basedOn w:val="DefaultParagraphFont"/>
    <w:uiPriority w:val="99"/>
    <w:semiHidden/>
    <w:unhideWhenUsed/>
    <w:rsid w:val="0026204C"/>
    <w:rPr>
      <w:color w:val="800080" w:themeColor="followedHyperlink"/>
      <w:u w:val="single"/>
    </w:rPr>
  </w:style>
  <w:style w:type="table" w:customStyle="1" w:styleId="ListTable6Colorful3">
    <w:name w:val="List Table 6 Colorful3"/>
    <w:basedOn w:val="TableNormal"/>
    <w:uiPriority w:val="51"/>
    <w:rsid w:val="00581DD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1819">
      <w:bodyDiv w:val="1"/>
      <w:marLeft w:val="0"/>
      <w:marRight w:val="0"/>
      <w:marTop w:val="0"/>
      <w:marBottom w:val="0"/>
      <w:divBdr>
        <w:top w:val="none" w:sz="0" w:space="0" w:color="auto"/>
        <w:left w:val="none" w:sz="0" w:space="0" w:color="auto"/>
        <w:bottom w:val="none" w:sz="0" w:space="0" w:color="auto"/>
        <w:right w:val="none" w:sz="0" w:space="0" w:color="auto"/>
      </w:divBdr>
    </w:div>
    <w:div w:id="402340264">
      <w:bodyDiv w:val="1"/>
      <w:marLeft w:val="0"/>
      <w:marRight w:val="0"/>
      <w:marTop w:val="0"/>
      <w:marBottom w:val="0"/>
      <w:divBdr>
        <w:top w:val="none" w:sz="0" w:space="0" w:color="auto"/>
        <w:left w:val="none" w:sz="0" w:space="0" w:color="auto"/>
        <w:bottom w:val="none" w:sz="0" w:space="0" w:color="auto"/>
        <w:right w:val="none" w:sz="0" w:space="0" w:color="auto"/>
      </w:divBdr>
    </w:div>
    <w:div w:id="580868277">
      <w:bodyDiv w:val="1"/>
      <w:marLeft w:val="0"/>
      <w:marRight w:val="0"/>
      <w:marTop w:val="0"/>
      <w:marBottom w:val="0"/>
      <w:divBdr>
        <w:top w:val="none" w:sz="0" w:space="0" w:color="auto"/>
        <w:left w:val="none" w:sz="0" w:space="0" w:color="auto"/>
        <w:bottom w:val="none" w:sz="0" w:space="0" w:color="auto"/>
        <w:right w:val="none" w:sz="0" w:space="0" w:color="auto"/>
      </w:divBdr>
    </w:div>
    <w:div w:id="615406567">
      <w:bodyDiv w:val="1"/>
      <w:marLeft w:val="0"/>
      <w:marRight w:val="0"/>
      <w:marTop w:val="0"/>
      <w:marBottom w:val="0"/>
      <w:divBdr>
        <w:top w:val="none" w:sz="0" w:space="0" w:color="auto"/>
        <w:left w:val="none" w:sz="0" w:space="0" w:color="auto"/>
        <w:bottom w:val="none" w:sz="0" w:space="0" w:color="auto"/>
        <w:right w:val="none" w:sz="0" w:space="0" w:color="auto"/>
      </w:divBdr>
    </w:div>
    <w:div w:id="903687205">
      <w:bodyDiv w:val="1"/>
      <w:marLeft w:val="0"/>
      <w:marRight w:val="0"/>
      <w:marTop w:val="0"/>
      <w:marBottom w:val="0"/>
      <w:divBdr>
        <w:top w:val="none" w:sz="0" w:space="0" w:color="auto"/>
        <w:left w:val="none" w:sz="0" w:space="0" w:color="auto"/>
        <w:bottom w:val="none" w:sz="0" w:space="0" w:color="auto"/>
        <w:right w:val="none" w:sz="0" w:space="0" w:color="auto"/>
      </w:divBdr>
    </w:div>
    <w:div w:id="996760668">
      <w:bodyDiv w:val="1"/>
      <w:marLeft w:val="0"/>
      <w:marRight w:val="0"/>
      <w:marTop w:val="0"/>
      <w:marBottom w:val="0"/>
      <w:divBdr>
        <w:top w:val="none" w:sz="0" w:space="0" w:color="auto"/>
        <w:left w:val="none" w:sz="0" w:space="0" w:color="auto"/>
        <w:bottom w:val="none" w:sz="0" w:space="0" w:color="auto"/>
        <w:right w:val="none" w:sz="0" w:space="0" w:color="auto"/>
      </w:divBdr>
    </w:div>
    <w:div w:id="1208296281">
      <w:bodyDiv w:val="1"/>
      <w:marLeft w:val="0"/>
      <w:marRight w:val="0"/>
      <w:marTop w:val="0"/>
      <w:marBottom w:val="0"/>
      <w:divBdr>
        <w:top w:val="none" w:sz="0" w:space="0" w:color="auto"/>
        <w:left w:val="none" w:sz="0" w:space="0" w:color="auto"/>
        <w:bottom w:val="none" w:sz="0" w:space="0" w:color="auto"/>
        <w:right w:val="none" w:sz="0" w:space="0" w:color="auto"/>
      </w:divBdr>
    </w:div>
    <w:div w:id="1278179291">
      <w:bodyDiv w:val="1"/>
      <w:marLeft w:val="0"/>
      <w:marRight w:val="0"/>
      <w:marTop w:val="0"/>
      <w:marBottom w:val="0"/>
      <w:divBdr>
        <w:top w:val="none" w:sz="0" w:space="0" w:color="auto"/>
        <w:left w:val="none" w:sz="0" w:space="0" w:color="auto"/>
        <w:bottom w:val="none" w:sz="0" w:space="0" w:color="auto"/>
        <w:right w:val="none" w:sz="0" w:space="0" w:color="auto"/>
      </w:divBdr>
    </w:div>
    <w:div w:id="1475760514">
      <w:bodyDiv w:val="1"/>
      <w:marLeft w:val="0"/>
      <w:marRight w:val="0"/>
      <w:marTop w:val="0"/>
      <w:marBottom w:val="0"/>
      <w:divBdr>
        <w:top w:val="none" w:sz="0" w:space="0" w:color="auto"/>
        <w:left w:val="none" w:sz="0" w:space="0" w:color="auto"/>
        <w:bottom w:val="none" w:sz="0" w:space="0" w:color="auto"/>
        <w:right w:val="none" w:sz="0" w:space="0" w:color="auto"/>
      </w:divBdr>
    </w:div>
    <w:div w:id="1855612181">
      <w:bodyDiv w:val="1"/>
      <w:marLeft w:val="0"/>
      <w:marRight w:val="0"/>
      <w:marTop w:val="0"/>
      <w:marBottom w:val="0"/>
      <w:divBdr>
        <w:top w:val="none" w:sz="0" w:space="0" w:color="auto"/>
        <w:left w:val="none" w:sz="0" w:space="0" w:color="auto"/>
        <w:bottom w:val="none" w:sz="0" w:space="0" w:color="auto"/>
        <w:right w:val="none" w:sz="0" w:space="0" w:color="auto"/>
      </w:divBdr>
    </w:div>
    <w:div w:id="1860656209">
      <w:bodyDiv w:val="1"/>
      <w:marLeft w:val="0"/>
      <w:marRight w:val="0"/>
      <w:marTop w:val="0"/>
      <w:marBottom w:val="0"/>
      <w:divBdr>
        <w:top w:val="none" w:sz="0" w:space="0" w:color="auto"/>
        <w:left w:val="none" w:sz="0" w:space="0" w:color="auto"/>
        <w:bottom w:val="none" w:sz="0" w:space="0" w:color="auto"/>
        <w:right w:val="none" w:sz="0" w:space="0" w:color="auto"/>
      </w:divBdr>
    </w:div>
    <w:div w:id="20867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2020australia.org.au/uploads/resource/250/National-Eye-Health-Survey_Full-Report_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C8D8-84FA-481E-B6A6-7BA0F1F6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6168</Words>
  <Characters>35161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Thornley (CMDHB)</dc:creator>
  <cp:lastModifiedBy>Glennis</cp:lastModifiedBy>
  <cp:revision>3</cp:revision>
  <cp:lastPrinted>2016-01-05T00:54:00Z</cp:lastPrinted>
  <dcterms:created xsi:type="dcterms:W3CDTF">2017-07-05T22:52:00Z</dcterms:created>
  <dcterms:modified xsi:type="dcterms:W3CDTF">2017-07-05T22:53:00Z</dcterms:modified>
</cp:coreProperties>
</file>